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sz w:val="44"/>
          <w:szCs w:val="44"/>
        </w:rPr>
      </w:pPr>
      <w:bookmarkStart w:id="28" w:name="_GoBack"/>
      <w:bookmarkEnd w:id="28"/>
      <w:r>
        <w:drawing>
          <wp:inline distT="0" distB="0" distL="114300" distR="114300">
            <wp:extent cx="5183505" cy="917575"/>
            <wp:effectExtent l="0" t="0" r="13335" b="12065"/>
            <wp:docPr id="1" name="图片 1" descr="IMG_0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0616"/>
                    <pic:cNvPicPr>
                      <a:picLocks noChangeAspect="1"/>
                    </pic:cNvPicPr>
                  </pic:nvPicPr>
                  <pic:blipFill>
                    <a:blip r:embed="rId5"/>
                    <a:stretch>
                      <a:fillRect/>
                    </a:stretch>
                  </pic:blipFill>
                  <pic:spPr>
                    <a:xfrm>
                      <a:off x="0" y="0"/>
                      <a:ext cx="5183505" cy="917575"/>
                    </a:xfrm>
                    <a:prstGeom prst="rect">
                      <a:avLst/>
                    </a:prstGeom>
                    <a:noFill/>
                    <a:ln>
                      <a:noFill/>
                    </a:ln>
                  </pic:spPr>
                </pic:pic>
              </a:graphicData>
            </a:graphic>
          </wp:inline>
        </w:drawing>
      </w:r>
    </w:p>
    <w:p>
      <w:pPr>
        <w:spacing w:line="360" w:lineRule="auto"/>
        <w:jc w:val="center"/>
        <w:rPr>
          <w:rFonts w:ascii="黑体" w:hAnsi="黑体" w:eastAsia="黑体" w:cs="黑体"/>
          <w:sz w:val="44"/>
          <w:szCs w:val="44"/>
        </w:rPr>
      </w:pPr>
    </w:p>
    <w:p>
      <w:pPr>
        <w:spacing w:line="360" w:lineRule="auto"/>
        <w:jc w:val="center"/>
        <w:rPr>
          <w:rFonts w:ascii="黑体" w:hAnsi="黑体" w:eastAsia="黑体" w:cs="黑体"/>
          <w:sz w:val="44"/>
          <w:szCs w:val="44"/>
        </w:rPr>
      </w:pPr>
      <w:r>
        <w:rPr>
          <w:rFonts w:hint="eastAsia" w:ascii="黑体" w:hAnsi="黑体" w:eastAsia="黑体" w:cs="黑体"/>
          <w:sz w:val="44"/>
          <w:szCs w:val="44"/>
        </w:rPr>
        <w:t>辽宁对外经贸学院数据中心建设项目</w:t>
      </w:r>
    </w:p>
    <w:p>
      <w:pPr>
        <w:spacing w:line="360" w:lineRule="auto"/>
        <w:jc w:val="center"/>
        <w:rPr>
          <w:rFonts w:ascii="黑体" w:hAnsi="黑体" w:eastAsia="黑体" w:cs="黑体"/>
          <w:sz w:val="44"/>
          <w:szCs w:val="44"/>
        </w:rPr>
      </w:pPr>
    </w:p>
    <w:p>
      <w:pPr>
        <w:spacing w:line="360" w:lineRule="auto"/>
        <w:jc w:val="center"/>
        <w:rPr>
          <w:rFonts w:ascii="黑体" w:hAnsi="黑体" w:eastAsia="黑体" w:cs="黑体"/>
          <w:sz w:val="96"/>
          <w:szCs w:val="96"/>
        </w:rPr>
      </w:pPr>
      <w:r>
        <w:rPr>
          <w:rFonts w:hint="eastAsia" w:ascii="黑体" w:hAnsi="黑体" w:eastAsia="黑体" w:cs="黑体"/>
          <w:sz w:val="44"/>
          <w:szCs w:val="44"/>
        </w:rPr>
        <w:t>招标文件</w:t>
      </w:r>
    </w:p>
    <w:p>
      <w:pPr>
        <w:spacing w:line="360" w:lineRule="auto"/>
        <w:jc w:val="center"/>
        <w:rPr>
          <w:rFonts w:ascii="黑体" w:hAnsi="黑体" w:eastAsia="黑体" w:cs="黑体"/>
          <w:sz w:val="44"/>
          <w:szCs w:val="44"/>
        </w:rPr>
      </w:pPr>
    </w:p>
    <w:p>
      <w:pPr>
        <w:rPr>
          <w:rFonts w:hAnsi="宋体" w:cs="黑体"/>
        </w:rPr>
      </w:pPr>
    </w:p>
    <w:p>
      <w:pPr>
        <w:rPr>
          <w:rFonts w:hAnsi="宋体" w:cs="黑体"/>
        </w:rPr>
      </w:pPr>
    </w:p>
    <w:p>
      <w:pPr>
        <w:rPr>
          <w:rFonts w:hAnsi="宋体" w:cs="黑体"/>
        </w:rPr>
      </w:pPr>
    </w:p>
    <w:p>
      <w:pPr>
        <w:rPr>
          <w:rFonts w:hAnsi="宋体" w:cs="黑体"/>
        </w:rPr>
      </w:pPr>
    </w:p>
    <w:p>
      <w:pPr>
        <w:rPr>
          <w:rFonts w:hAnsi="宋体" w:cs="黑体"/>
        </w:rPr>
      </w:pPr>
    </w:p>
    <w:p>
      <w:pPr>
        <w:rPr>
          <w:rFonts w:hAnsi="宋体" w:cs="黑体"/>
        </w:rPr>
      </w:pPr>
    </w:p>
    <w:p>
      <w:pPr>
        <w:rPr>
          <w:rFonts w:hAnsi="宋体" w:cs="黑体"/>
        </w:rPr>
      </w:pPr>
    </w:p>
    <w:p>
      <w:pPr>
        <w:rPr>
          <w:rFonts w:hAnsi="宋体" w:cs="黑体"/>
        </w:rPr>
      </w:pPr>
    </w:p>
    <w:p>
      <w:pPr>
        <w:rPr>
          <w:rFonts w:hAnsi="宋体" w:cs="黑体"/>
        </w:rPr>
      </w:pPr>
    </w:p>
    <w:p>
      <w:pPr>
        <w:rPr>
          <w:rFonts w:hAnsi="宋体" w:cs="黑体"/>
        </w:rPr>
      </w:pPr>
    </w:p>
    <w:p>
      <w:pPr>
        <w:rPr>
          <w:rFonts w:hAnsi="宋体" w:cs="黑体"/>
        </w:rPr>
      </w:pPr>
    </w:p>
    <w:p>
      <w:pPr>
        <w:rPr>
          <w:rFonts w:hAnsi="宋体" w:cs="黑体"/>
        </w:rPr>
      </w:pPr>
    </w:p>
    <w:p>
      <w:pPr>
        <w:rPr>
          <w:rFonts w:hAnsi="宋体" w:cs="黑体"/>
        </w:rPr>
      </w:pPr>
    </w:p>
    <w:p>
      <w:pPr>
        <w:rPr>
          <w:rFonts w:hAnsi="宋体" w:cs="黑体"/>
        </w:rPr>
      </w:pPr>
    </w:p>
    <w:p>
      <w:pPr>
        <w:rPr>
          <w:rFonts w:hAnsi="宋体" w:cs="黑体"/>
        </w:rPr>
      </w:pPr>
    </w:p>
    <w:p>
      <w:pPr>
        <w:rPr>
          <w:rFonts w:hAnsi="宋体" w:cs="黑体"/>
        </w:rPr>
      </w:pPr>
    </w:p>
    <w:p>
      <w:pPr>
        <w:rPr>
          <w:rFonts w:hAnsi="宋体" w:cs="黑体"/>
        </w:rPr>
      </w:pPr>
    </w:p>
    <w:p>
      <w:pPr>
        <w:rPr>
          <w:rFonts w:hAnsi="宋体" w:cs="黑体"/>
        </w:rPr>
      </w:pPr>
    </w:p>
    <w:p>
      <w:pPr>
        <w:rPr>
          <w:rFonts w:hAnsi="宋体" w:cs="黑体"/>
        </w:rPr>
      </w:pPr>
    </w:p>
    <w:p>
      <w:pPr>
        <w:rPr>
          <w:rFonts w:hAnsi="宋体" w:cs="黑体"/>
        </w:rPr>
      </w:pPr>
    </w:p>
    <w:p>
      <w:pPr>
        <w:rPr>
          <w:rFonts w:hAnsi="宋体" w:cs="黑体"/>
        </w:rPr>
      </w:pPr>
    </w:p>
    <w:p>
      <w:pPr>
        <w:adjustRightInd w:val="0"/>
        <w:snapToGrid w:val="0"/>
        <w:spacing w:line="360" w:lineRule="auto"/>
        <w:jc w:val="center"/>
        <w:rPr>
          <w:rFonts w:ascii="宋体" w:hAnsi="宋体" w:cs="宋体"/>
          <w:b/>
          <w:kern w:val="0"/>
          <w:sz w:val="36"/>
          <w:szCs w:val="36"/>
        </w:rPr>
      </w:pPr>
      <w:r>
        <w:rPr>
          <w:rFonts w:hint="eastAsia" w:ascii="宋体" w:hAnsi="宋体" w:cs="宋体"/>
          <w:b/>
          <w:kern w:val="0"/>
          <w:sz w:val="36"/>
          <w:szCs w:val="36"/>
        </w:rPr>
        <w:t>二〇二一年七月</w:t>
      </w:r>
    </w:p>
    <w:p>
      <w:pPr>
        <w:rPr>
          <w:rFonts w:ascii="宋体" w:hAnsi="宋体" w:cs="宋体"/>
          <w:b/>
          <w:kern w:val="0"/>
          <w:sz w:val="36"/>
          <w:szCs w:val="36"/>
        </w:rPr>
      </w:pPr>
      <w:r>
        <w:rPr>
          <w:rFonts w:hint="eastAsia" w:ascii="宋体" w:hAnsi="宋体" w:cs="宋体"/>
          <w:b/>
          <w:kern w:val="0"/>
          <w:sz w:val="36"/>
          <w:szCs w:val="36"/>
        </w:rPr>
        <w:br w:type="page"/>
      </w:r>
    </w:p>
    <w:p>
      <w:pPr>
        <w:adjustRightInd w:val="0"/>
        <w:snapToGrid w:val="0"/>
        <w:spacing w:line="360" w:lineRule="auto"/>
        <w:jc w:val="center"/>
        <w:rPr>
          <w:rFonts w:ascii="宋体" w:hAnsi="宋体" w:cs="宋体"/>
          <w:b/>
          <w:kern w:val="0"/>
          <w:sz w:val="36"/>
          <w:szCs w:val="36"/>
        </w:rPr>
      </w:pPr>
    </w:p>
    <w:sdt>
      <w:sdtPr>
        <w:rPr>
          <w:rFonts w:ascii="宋体" w:hAnsi="宋体"/>
          <w:sz w:val="24"/>
          <w:szCs w:val="24"/>
        </w:rPr>
        <w:id w:val="147461377"/>
        <w15:color w:val="DBDBDB"/>
        <w:docPartObj>
          <w:docPartGallery w:val="Table of Contents"/>
          <w:docPartUnique/>
        </w:docPartObj>
      </w:sdtPr>
      <w:sdtEndPr>
        <w:rPr>
          <w:rFonts w:hint="eastAsia" w:ascii="Times New Roman" w:hAnsi="宋体" w:cs="黑体"/>
          <w:sz w:val="21"/>
          <w:szCs w:val="21"/>
        </w:rPr>
      </w:sdtEndPr>
      <w:sdtContent>
        <w:p>
          <w:pPr>
            <w:jc w:val="center"/>
            <w:rPr>
              <w:sz w:val="32"/>
              <w:szCs w:val="32"/>
            </w:rPr>
          </w:pPr>
          <w:r>
            <w:rPr>
              <w:rFonts w:ascii="宋体" w:hAnsi="宋体"/>
              <w:sz w:val="32"/>
              <w:szCs w:val="32"/>
            </w:rPr>
            <w:t>目录</w:t>
          </w:r>
        </w:p>
        <w:p>
          <w:pPr>
            <w:pStyle w:val="60"/>
            <w:tabs>
              <w:tab w:val="right" w:leader="dot" w:pos="8313"/>
            </w:tabs>
            <w:rPr>
              <w:sz w:val="24"/>
              <w:szCs w:val="24"/>
            </w:rPr>
          </w:pPr>
          <w:r>
            <w:rPr>
              <w:rFonts w:hint="eastAsia" w:hAnsi="宋体" w:cs="黑体"/>
              <w:kern w:val="2"/>
              <w:sz w:val="24"/>
              <w:szCs w:val="24"/>
            </w:rPr>
            <w:fldChar w:fldCharType="begin"/>
          </w:r>
          <w:r>
            <w:rPr>
              <w:rFonts w:hint="eastAsia" w:hAnsi="宋体" w:cs="黑体"/>
              <w:kern w:val="2"/>
              <w:sz w:val="24"/>
              <w:szCs w:val="24"/>
            </w:rPr>
            <w:instrText xml:space="preserve">TOC \o "1-1" \h \u </w:instrText>
          </w:r>
          <w:r>
            <w:rPr>
              <w:rFonts w:hint="eastAsia" w:hAnsi="宋体" w:cs="黑体"/>
              <w:kern w:val="2"/>
              <w:sz w:val="24"/>
              <w:szCs w:val="24"/>
            </w:rPr>
            <w:fldChar w:fldCharType="separate"/>
          </w:r>
          <w:r>
            <w:fldChar w:fldCharType="begin"/>
          </w:r>
          <w:r>
            <w:instrText xml:space="preserve"> HYPERLINK \l "_Toc5648" </w:instrText>
          </w:r>
          <w:r>
            <w:fldChar w:fldCharType="separate"/>
          </w:r>
          <w:r>
            <w:rPr>
              <w:rFonts w:hint="eastAsia" w:hAnsi="宋体" w:cs="黑体"/>
              <w:sz w:val="24"/>
              <w:szCs w:val="24"/>
            </w:rPr>
            <w:t>第一部分</w:t>
          </w:r>
          <w:r>
            <w:rPr>
              <w:rFonts w:hAnsi="宋体"/>
              <w:sz w:val="24"/>
              <w:szCs w:val="24"/>
            </w:rPr>
            <w:t xml:space="preserve"> </w:t>
          </w:r>
          <w:r>
            <w:rPr>
              <w:rFonts w:hint="eastAsia" w:hAnsi="宋体" w:cs="黑体"/>
              <w:sz w:val="24"/>
              <w:szCs w:val="24"/>
            </w:rPr>
            <w:t>投标人须知</w:t>
          </w:r>
          <w:r>
            <w:rPr>
              <w:sz w:val="24"/>
              <w:szCs w:val="24"/>
            </w:rPr>
            <w:tab/>
          </w:r>
          <w:r>
            <w:rPr>
              <w:sz w:val="24"/>
              <w:szCs w:val="24"/>
            </w:rPr>
            <w:fldChar w:fldCharType="begin"/>
          </w:r>
          <w:r>
            <w:rPr>
              <w:sz w:val="24"/>
              <w:szCs w:val="24"/>
            </w:rPr>
            <w:instrText xml:space="preserve"> PAGEREF _Toc5648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60"/>
            <w:tabs>
              <w:tab w:val="right" w:leader="dot" w:pos="8313"/>
            </w:tabs>
            <w:rPr>
              <w:sz w:val="24"/>
              <w:szCs w:val="24"/>
            </w:rPr>
          </w:pPr>
          <w:r>
            <w:fldChar w:fldCharType="begin"/>
          </w:r>
          <w:r>
            <w:instrText xml:space="preserve"> HYPERLINK \l "_Toc9086" </w:instrText>
          </w:r>
          <w:r>
            <w:fldChar w:fldCharType="separate"/>
          </w:r>
          <w:r>
            <w:rPr>
              <w:rFonts w:hint="eastAsia" w:hAnsi="宋体" w:cs="黑体"/>
              <w:sz w:val="24"/>
              <w:szCs w:val="24"/>
            </w:rPr>
            <w:t>第二部分</w:t>
          </w:r>
          <w:r>
            <w:rPr>
              <w:rFonts w:hAnsi="宋体"/>
              <w:sz w:val="24"/>
              <w:szCs w:val="24"/>
            </w:rPr>
            <w:t xml:space="preserve"> </w:t>
          </w:r>
          <w:r>
            <w:rPr>
              <w:rFonts w:hint="eastAsia" w:hAnsi="宋体" w:cs="黑体"/>
              <w:sz w:val="24"/>
              <w:szCs w:val="24"/>
            </w:rPr>
            <w:t>用户需求</w:t>
          </w:r>
          <w:r>
            <w:rPr>
              <w:sz w:val="24"/>
              <w:szCs w:val="24"/>
            </w:rPr>
            <w:tab/>
          </w:r>
          <w:r>
            <w:rPr>
              <w:sz w:val="24"/>
              <w:szCs w:val="24"/>
            </w:rPr>
            <w:fldChar w:fldCharType="begin"/>
          </w:r>
          <w:r>
            <w:rPr>
              <w:sz w:val="24"/>
              <w:szCs w:val="24"/>
            </w:rPr>
            <w:instrText xml:space="preserve"> PAGEREF _Toc9086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60"/>
            <w:tabs>
              <w:tab w:val="right" w:leader="dot" w:pos="8313"/>
            </w:tabs>
            <w:rPr>
              <w:sz w:val="24"/>
              <w:szCs w:val="24"/>
            </w:rPr>
          </w:pPr>
          <w:r>
            <w:fldChar w:fldCharType="begin"/>
          </w:r>
          <w:r>
            <w:instrText xml:space="preserve"> HYPERLINK \l "_Toc32544" </w:instrText>
          </w:r>
          <w:r>
            <w:fldChar w:fldCharType="separate"/>
          </w:r>
          <w:r>
            <w:rPr>
              <w:rFonts w:hint="eastAsia"/>
              <w:sz w:val="24"/>
              <w:szCs w:val="24"/>
            </w:rPr>
            <w:t>第三部分 技术参数</w:t>
          </w:r>
          <w:r>
            <w:rPr>
              <w:sz w:val="24"/>
              <w:szCs w:val="24"/>
            </w:rPr>
            <w:tab/>
          </w:r>
          <w:r>
            <w:rPr>
              <w:sz w:val="24"/>
              <w:szCs w:val="24"/>
            </w:rPr>
            <w:fldChar w:fldCharType="begin"/>
          </w:r>
          <w:r>
            <w:rPr>
              <w:sz w:val="24"/>
              <w:szCs w:val="24"/>
            </w:rPr>
            <w:instrText xml:space="preserve"> PAGEREF _Toc32544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60"/>
            <w:tabs>
              <w:tab w:val="right" w:leader="dot" w:pos="8313"/>
            </w:tabs>
            <w:rPr>
              <w:sz w:val="24"/>
              <w:szCs w:val="24"/>
            </w:rPr>
          </w:pPr>
          <w:r>
            <w:fldChar w:fldCharType="begin"/>
          </w:r>
          <w:r>
            <w:instrText xml:space="preserve"> HYPERLINK \l "_Toc23593" </w:instrText>
          </w:r>
          <w:r>
            <w:fldChar w:fldCharType="separate"/>
          </w:r>
          <w:r>
            <w:rPr>
              <w:rFonts w:hint="eastAsia" w:hAnsi="宋体" w:cs="黑体"/>
              <w:sz w:val="24"/>
              <w:szCs w:val="24"/>
            </w:rPr>
            <w:t>第四部分</w:t>
          </w:r>
          <w:r>
            <w:rPr>
              <w:rFonts w:hAnsi="宋体"/>
              <w:sz w:val="24"/>
              <w:szCs w:val="24"/>
            </w:rPr>
            <w:t xml:space="preserve"> </w:t>
          </w:r>
          <w:r>
            <w:rPr>
              <w:rFonts w:hint="eastAsia" w:hAnsi="宋体" w:cs="黑体"/>
              <w:sz w:val="24"/>
              <w:szCs w:val="24"/>
            </w:rPr>
            <w:t>投标报价相关要求</w:t>
          </w:r>
          <w:r>
            <w:rPr>
              <w:sz w:val="24"/>
              <w:szCs w:val="24"/>
            </w:rPr>
            <w:tab/>
          </w:r>
          <w:r>
            <w:rPr>
              <w:sz w:val="24"/>
              <w:szCs w:val="24"/>
            </w:rPr>
            <w:fldChar w:fldCharType="begin"/>
          </w:r>
          <w:r>
            <w:rPr>
              <w:sz w:val="24"/>
              <w:szCs w:val="24"/>
            </w:rPr>
            <w:instrText xml:space="preserve"> PAGEREF _Toc23593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60"/>
            <w:tabs>
              <w:tab w:val="right" w:leader="dot" w:pos="8313"/>
            </w:tabs>
            <w:rPr>
              <w:sz w:val="24"/>
              <w:szCs w:val="24"/>
            </w:rPr>
          </w:pPr>
          <w:r>
            <w:fldChar w:fldCharType="begin"/>
          </w:r>
          <w:r>
            <w:instrText xml:space="preserve"> HYPERLINK \l "_Toc16946" </w:instrText>
          </w:r>
          <w:r>
            <w:fldChar w:fldCharType="separate"/>
          </w:r>
          <w:r>
            <w:rPr>
              <w:rFonts w:hint="eastAsia" w:ascii="宋体" w:hAnsi="宋体" w:cs="宋体"/>
              <w:sz w:val="24"/>
              <w:szCs w:val="24"/>
            </w:rPr>
            <w:t>附件</w:t>
          </w:r>
          <w:r>
            <w:rPr>
              <w:rFonts w:ascii="宋体" w:hAnsi="宋体" w:cs="宋体"/>
              <w:sz w:val="24"/>
              <w:szCs w:val="24"/>
            </w:rPr>
            <w:t xml:space="preserve">1 </w:t>
          </w:r>
          <w:r>
            <w:rPr>
              <w:rFonts w:hint="eastAsia" w:ascii="宋体" w:hAnsi="宋体" w:cs="宋体"/>
              <w:sz w:val="24"/>
              <w:szCs w:val="24"/>
            </w:rPr>
            <w:t>报</w:t>
          </w:r>
          <w:r>
            <w:rPr>
              <w:rFonts w:ascii="宋体" w:hAnsi="宋体" w:cs="宋体"/>
              <w:sz w:val="24"/>
              <w:szCs w:val="24"/>
            </w:rPr>
            <w:t xml:space="preserve"> </w:t>
          </w:r>
          <w:r>
            <w:rPr>
              <w:rFonts w:hint="eastAsia" w:ascii="宋体" w:hAnsi="宋体" w:cs="宋体"/>
              <w:sz w:val="24"/>
              <w:szCs w:val="24"/>
            </w:rPr>
            <w:t>价</w:t>
          </w:r>
          <w:r>
            <w:rPr>
              <w:rFonts w:ascii="宋体" w:hAnsi="宋体" w:cs="宋体"/>
              <w:sz w:val="24"/>
              <w:szCs w:val="24"/>
            </w:rPr>
            <w:t xml:space="preserve"> </w:t>
          </w:r>
          <w:r>
            <w:rPr>
              <w:rFonts w:hint="eastAsia" w:ascii="宋体" w:hAnsi="宋体" w:cs="宋体"/>
              <w:sz w:val="24"/>
              <w:szCs w:val="24"/>
            </w:rPr>
            <w:t>函</w:t>
          </w:r>
          <w:r>
            <w:rPr>
              <w:sz w:val="24"/>
              <w:szCs w:val="24"/>
            </w:rPr>
            <w:tab/>
          </w:r>
          <w:r>
            <w:rPr>
              <w:sz w:val="24"/>
              <w:szCs w:val="24"/>
            </w:rPr>
            <w:fldChar w:fldCharType="begin"/>
          </w:r>
          <w:r>
            <w:rPr>
              <w:sz w:val="24"/>
              <w:szCs w:val="24"/>
            </w:rPr>
            <w:instrText xml:space="preserve"> PAGEREF _Toc16946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60"/>
            <w:tabs>
              <w:tab w:val="right" w:leader="dot" w:pos="8313"/>
            </w:tabs>
            <w:rPr>
              <w:sz w:val="24"/>
              <w:szCs w:val="24"/>
            </w:rPr>
          </w:pPr>
          <w:r>
            <w:fldChar w:fldCharType="begin"/>
          </w:r>
          <w:r>
            <w:instrText xml:space="preserve"> HYPERLINK \l "_Toc29144" </w:instrText>
          </w:r>
          <w:r>
            <w:fldChar w:fldCharType="separate"/>
          </w:r>
          <w:r>
            <w:rPr>
              <w:rFonts w:hint="eastAsia" w:ascii="宋体" w:hAnsi="宋体" w:cs="宋体"/>
              <w:sz w:val="24"/>
              <w:szCs w:val="24"/>
            </w:rPr>
            <w:t>附件</w:t>
          </w:r>
          <w:r>
            <w:rPr>
              <w:rFonts w:ascii="宋体" w:hAnsi="宋体" w:cs="宋体"/>
              <w:sz w:val="24"/>
              <w:szCs w:val="24"/>
            </w:rPr>
            <w:t xml:space="preserve">2 </w:t>
          </w:r>
          <w:r>
            <w:rPr>
              <w:rFonts w:hint="eastAsia" w:ascii="宋体" w:hAnsi="宋体" w:cs="宋体"/>
              <w:sz w:val="24"/>
              <w:szCs w:val="24"/>
            </w:rPr>
            <w:t>法定代表人授权书</w:t>
          </w:r>
          <w:r>
            <w:rPr>
              <w:sz w:val="24"/>
              <w:szCs w:val="24"/>
            </w:rPr>
            <w:tab/>
          </w:r>
          <w:r>
            <w:rPr>
              <w:sz w:val="24"/>
              <w:szCs w:val="24"/>
            </w:rPr>
            <w:fldChar w:fldCharType="begin"/>
          </w:r>
          <w:r>
            <w:rPr>
              <w:sz w:val="24"/>
              <w:szCs w:val="24"/>
            </w:rPr>
            <w:instrText xml:space="preserve"> PAGEREF _Toc29144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60"/>
            <w:tabs>
              <w:tab w:val="right" w:leader="dot" w:pos="8313"/>
            </w:tabs>
            <w:rPr>
              <w:sz w:val="24"/>
              <w:szCs w:val="24"/>
            </w:rPr>
          </w:pPr>
          <w:r>
            <w:fldChar w:fldCharType="begin"/>
          </w:r>
          <w:r>
            <w:instrText xml:space="preserve"> HYPERLINK \l "_Toc29199" </w:instrText>
          </w:r>
          <w:r>
            <w:fldChar w:fldCharType="separate"/>
          </w:r>
          <w:r>
            <w:rPr>
              <w:rFonts w:hint="eastAsia" w:ascii="宋体" w:hAnsi="宋体" w:cs="宋体"/>
              <w:sz w:val="24"/>
              <w:szCs w:val="24"/>
            </w:rPr>
            <w:t>附件</w:t>
          </w:r>
          <w:r>
            <w:rPr>
              <w:rFonts w:ascii="宋体" w:hAnsi="宋体" w:cs="宋体"/>
              <w:sz w:val="24"/>
              <w:szCs w:val="24"/>
            </w:rPr>
            <w:t xml:space="preserve">3 </w:t>
          </w:r>
          <w:r>
            <w:rPr>
              <w:rFonts w:hint="eastAsia" w:ascii="宋体" w:hAnsi="宋体" w:cs="宋体"/>
              <w:sz w:val="24"/>
              <w:szCs w:val="24"/>
            </w:rPr>
            <w:t>报</w:t>
          </w:r>
          <w:r>
            <w:rPr>
              <w:rFonts w:ascii="宋体" w:hAnsi="宋体" w:cs="宋体"/>
              <w:sz w:val="24"/>
              <w:szCs w:val="24"/>
            </w:rPr>
            <w:t xml:space="preserve">  </w:t>
          </w:r>
          <w:r>
            <w:rPr>
              <w:rFonts w:hint="eastAsia" w:ascii="宋体" w:hAnsi="宋体" w:cs="宋体"/>
              <w:sz w:val="24"/>
              <w:szCs w:val="24"/>
            </w:rPr>
            <w:t>价</w:t>
          </w:r>
          <w:r>
            <w:rPr>
              <w:rFonts w:ascii="宋体" w:hAnsi="宋体" w:cs="宋体"/>
              <w:sz w:val="24"/>
              <w:szCs w:val="24"/>
            </w:rPr>
            <w:t xml:space="preserve">  </w:t>
          </w:r>
          <w:r>
            <w:rPr>
              <w:rFonts w:hint="eastAsia" w:ascii="宋体" w:hAnsi="宋体" w:cs="宋体"/>
              <w:sz w:val="24"/>
              <w:szCs w:val="24"/>
            </w:rPr>
            <w:t>表</w:t>
          </w:r>
          <w:r>
            <w:rPr>
              <w:sz w:val="24"/>
              <w:szCs w:val="24"/>
            </w:rPr>
            <w:tab/>
          </w:r>
          <w:r>
            <w:rPr>
              <w:sz w:val="24"/>
              <w:szCs w:val="24"/>
            </w:rPr>
            <w:fldChar w:fldCharType="begin"/>
          </w:r>
          <w:r>
            <w:rPr>
              <w:sz w:val="24"/>
              <w:szCs w:val="24"/>
            </w:rPr>
            <w:instrText xml:space="preserve"> PAGEREF _Toc29199 </w:instrText>
          </w:r>
          <w:r>
            <w:rPr>
              <w:sz w:val="24"/>
              <w:szCs w:val="24"/>
            </w:rPr>
            <w:fldChar w:fldCharType="separate"/>
          </w:r>
          <w:r>
            <w:rPr>
              <w:sz w:val="24"/>
              <w:szCs w:val="24"/>
            </w:rPr>
            <w:t>12</w:t>
          </w:r>
          <w:r>
            <w:rPr>
              <w:sz w:val="24"/>
              <w:szCs w:val="24"/>
            </w:rPr>
            <w:fldChar w:fldCharType="end"/>
          </w:r>
          <w:r>
            <w:rPr>
              <w:sz w:val="24"/>
              <w:szCs w:val="24"/>
            </w:rPr>
            <w:fldChar w:fldCharType="end"/>
          </w:r>
        </w:p>
        <w:p>
          <w:pPr>
            <w:pStyle w:val="60"/>
            <w:tabs>
              <w:tab w:val="right" w:leader="dot" w:pos="8313"/>
            </w:tabs>
            <w:rPr>
              <w:sz w:val="24"/>
              <w:szCs w:val="24"/>
            </w:rPr>
          </w:pPr>
          <w:r>
            <w:fldChar w:fldCharType="begin"/>
          </w:r>
          <w:r>
            <w:instrText xml:space="preserve"> HYPERLINK \l "_Toc26272" </w:instrText>
          </w:r>
          <w:r>
            <w:fldChar w:fldCharType="separate"/>
          </w:r>
          <w:r>
            <w:rPr>
              <w:rFonts w:hint="eastAsia" w:ascii="宋体" w:hAnsi="宋体" w:cs="宋体"/>
              <w:sz w:val="24"/>
              <w:szCs w:val="24"/>
            </w:rPr>
            <w:t>附件</w:t>
          </w:r>
          <w:r>
            <w:rPr>
              <w:rFonts w:ascii="宋体" w:hAnsi="宋体" w:cs="宋体"/>
              <w:sz w:val="24"/>
              <w:szCs w:val="24"/>
            </w:rPr>
            <w:t xml:space="preserve">4 </w:t>
          </w:r>
          <w:r>
            <w:rPr>
              <w:rFonts w:hint="eastAsia" w:ascii="宋体" w:hAnsi="宋体" w:cs="宋体"/>
              <w:sz w:val="24"/>
              <w:szCs w:val="24"/>
            </w:rPr>
            <w:t>主要设备技术规格响应表</w:t>
          </w:r>
          <w:r>
            <w:rPr>
              <w:sz w:val="24"/>
              <w:szCs w:val="24"/>
            </w:rPr>
            <w:tab/>
          </w:r>
          <w:r>
            <w:rPr>
              <w:sz w:val="24"/>
              <w:szCs w:val="24"/>
            </w:rPr>
            <w:fldChar w:fldCharType="begin"/>
          </w:r>
          <w:r>
            <w:rPr>
              <w:sz w:val="24"/>
              <w:szCs w:val="24"/>
            </w:rPr>
            <w:instrText xml:space="preserve"> PAGEREF _Toc26272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60"/>
            <w:tabs>
              <w:tab w:val="right" w:leader="dot" w:pos="8313"/>
            </w:tabs>
            <w:rPr>
              <w:sz w:val="24"/>
              <w:szCs w:val="24"/>
            </w:rPr>
          </w:pPr>
          <w:r>
            <w:fldChar w:fldCharType="begin"/>
          </w:r>
          <w:r>
            <w:instrText xml:space="preserve"> HYPERLINK \l "_Toc319" </w:instrText>
          </w:r>
          <w:r>
            <w:fldChar w:fldCharType="separate"/>
          </w:r>
          <w:r>
            <w:rPr>
              <w:rFonts w:hint="eastAsia" w:ascii="宋体" w:hAnsi="宋体" w:cs="宋体"/>
              <w:sz w:val="24"/>
              <w:szCs w:val="24"/>
            </w:rPr>
            <w:t>附件</w:t>
          </w:r>
          <w:r>
            <w:rPr>
              <w:rFonts w:ascii="宋体" w:hAnsi="宋体" w:cs="宋体"/>
              <w:sz w:val="24"/>
              <w:szCs w:val="24"/>
            </w:rPr>
            <w:t xml:space="preserve">5 </w:t>
          </w:r>
          <w:r>
            <w:rPr>
              <w:rFonts w:hint="eastAsia" w:ascii="宋体" w:hAnsi="宋体" w:cs="宋体"/>
              <w:sz w:val="24"/>
              <w:szCs w:val="24"/>
            </w:rPr>
            <w:t>售后服务承诺书</w:t>
          </w:r>
          <w:r>
            <w:rPr>
              <w:sz w:val="24"/>
              <w:szCs w:val="24"/>
            </w:rPr>
            <w:tab/>
          </w:r>
          <w:r>
            <w:rPr>
              <w:sz w:val="24"/>
              <w:szCs w:val="24"/>
            </w:rPr>
            <w:fldChar w:fldCharType="begin"/>
          </w:r>
          <w:r>
            <w:rPr>
              <w:sz w:val="24"/>
              <w:szCs w:val="24"/>
            </w:rPr>
            <w:instrText xml:space="preserve"> PAGEREF _Toc319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60"/>
            <w:tabs>
              <w:tab w:val="right" w:leader="dot" w:pos="8313"/>
            </w:tabs>
            <w:rPr>
              <w:sz w:val="24"/>
              <w:szCs w:val="24"/>
            </w:rPr>
          </w:pPr>
          <w:r>
            <w:fldChar w:fldCharType="begin"/>
          </w:r>
          <w:r>
            <w:instrText xml:space="preserve"> HYPERLINK \l "_Toc160" </w:instrText>
          </w:r>
          <w:r>
            <w:fldChar w:fldCharType="separate"/>
          </w:r>
          <w:r>
            <w:rPr>
              <w:rFonts w:hint="eastAsia" w:ascii="宋体" w:hAnsi="宋体" w:cs="宋体"/>
              <w:sz w:val="24"/>
              <w:szCs w:val="24"/>
            </w:rPr>
            <w:t>附件</w:t>
          </w:r>
          <w:r>
            <w:rPr>
              <w:rFonts w:ascii="宋体" w:hAnsi="宋体" w:cs="宋体"/>
              <w:sz w:val="24"/>
              <w:szCs w:val="24"/>
            </w:rPr>
            <w:t xml:space="preserve">6 </w:t>
          </w:r>
          <w:r>
            <w:rPr>
              <w:rFonts w:hint="eastAsia" w:ascii="宋体" w:hAnsi="宋体" w:cs="宋体"/>
              <w:sz w:val="24"/>
              <w:szCs w:val="24"/>
            </w:rPr>
            <w:t>投标人营业执照</w:t>
          </w:r>
          <w:r>
            <w:rPr>
              <w:sz w:val="24"/>
              <w:szCs w:val="24"/>
            </w:rPr>
            <w:tab/>
          </w:r>
          <w:r>
            <w:rPr>
              <w:sz w:val="24"/>
              <w:szCs w:val="24"/>
            </w:rPr>
            <w:fldChar w:fldCharType="begin"/>
          </w:r>
          <w:r>
            <w:rPr>
              <w:sz w:val="24"/>
              <w:szCs w:val="24"/>
            </w:rPr>
            <w:instrText xml:space="preserve"> PAGEREF _Toc160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60"/>
            <w:tabs>
              <w:tab w:val="right" w:leader="dot" w:pos="8313"/>
            </w:tabs>
            <w:rPr>
              <w:sz w:val="24"/>
              <w:szCs w:val="24"/>
            </w:rPr>
          </w:pPr>
          <w:r>
            <w:fldChar w:fldCharType="begin"/>
          </w:r>
          <w:r>
            <w:instrText xml:space="preserve"> HYPERLINK \l "_Toc11310" </w:instrText>
          </w:r>
          <w:r>
            <w:fldChar w:fldCharType="separate"/>
          </w:r>
          <w:r>
            <w:rPr>
              <w:rFonts w:hint="eastAsia" w:ascii="宋体" w:hAnsi="宋体" w:cs="宋体"/>
              <w:sz w:val="24"/>
              <w:szCs w:val="24"/>
            </w:rPr>
            <w:t>附件</w:t>
          </w:r>
          <w:r>
            <w:rPr>
              <w:rFonts w:ascii="宋体" w:hAnsi="宋体" w:cs="宋体"/>
              <w:sz w:val="24"/>
              <w:szCs w:val="24"/>
            </w:rPr>
            <w:t xml:space="preserve">7 </w:t>
          </w:r>
          <w:r>
            <w:rPr>
              <w:rFonts w:hint="eastAsia" w:ascii="宋体" w:hAnsi="宋体" w:cs="宋体"/>
              <w:sz w:val="24"/>
              <w:szCs w:val="24"/>
            </w:rPr>
            <w:t>投标人税务登记证</w:t>
          </w:r>
          <w:r>
            <w:rPr>
              <w:sz w:val="24"/>
              <w:szCs w:val="24"/>
            </w:rPr>
            <w:tab/>
          </w:r>
          <w:r>
            <w:rPr>
              <w:sz w:val="24"/>
              <w:szCs w:val="24"/>
            </w:rPr>
            <w:fldChar w:fldCharType="begin"/>
          </w:r>
          <w:r>
            <w:rPr>
              <w:sz w:val="24"/>
              <w:szCs w:val="24"/>
            </w:rPr>
            <w:instrText xml:space="preserve"> PAGEREF _Toc11310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60"/>
            <w:tabs>
              <w:tab w:val="right" w:leader="dot" w:pos="8313"/>
            </w:tabs>
            <w:rPr>
              <w:sz w:val="24"/>
              <w:szCs w:val="24"/>
            </w:rPr>
          </w:pPr>
          <w:r>
            <w:fldChar w:fldCharType="begin"/>
          </w:r>
          <w:r>
            <w:instrText xml:space="preserve"> HYPERLINK \l "_Toc9757" </w:instrText>
          </w:r>
          <w:r>
            <w:fldChar w:fldCharType="separate"/>
          </w:r>
          <w:r>
            <w:rPr>
              <w:rFonts w:hint="eastAsia" w:ascii="宋体" w:hAnsi="宋体" w:cs="宋体"/>
              <w:sz w:val="24"/>
              <w:szCs w:val="24"/>
            </w:rPr>
            <w:t>附件</w:t>
          </w:r>
          <w:r>
            <w:rPr>
              <w:rFonts w:ascii="宋体" w:hAnsi="宋体" w:cs="宋体"/>
              <w:sz w:val="24"/>
              <w:szCs w:val="24"/>
            </w:rPr>
            <w:t xml:space="preserve">8 </w:t>
          </w:r>
          <w:r>
            <w:rPr>
              <w:rFonts w:hint="eastAsia" w:ascii="宋体" w:hAnsi="宋体" w:cs="宋体"/>
              <w:sz w:val="24"/>
              <w:szCs w:val="24"/>
            </w:rPr>
            <w:t>投标人组织机构代码证</w:t>
          </w:r>
          <w:r>
            <w:rPr>
              <w:sz w:val="24"/>
              <w:szCs w:val="24"/>
            </w:rPr>
            <w:tab/>
          </w:r>
          <w:r>
            <w:rPr>
              <w:sz w:val="24"/>
              <w:szCs w:val="24"/>
            </w:rPr>
            <w:fldChar w:fldCharType="begin"/>
          </w:r>
          <w:r>
            <w:rPr>
              <w:sz w:val="24"/>
              <w:szCs w:val="24"/>
            </w:rPr>
            <w:instrText xml:space="preserve"> PAGEREF _Toc9757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60"/>
            <w:tabs>
              <w:tab w:val="right" w:leader="dot" w:pos="8313"/>
            </w:tabs>
            <w:rPr>
              <w:sz w:val="24"/>
              <w:szCs w:val="24"/>
            </w:rPr>
          </w:pPr>
          <w:r>
            <w:fldChar w:fldCharType="begin"/>
          </w:r>
          <w:r>
            <w:instrText xml:space="preserve"> HYPERLINK \l "_Toc5498" </w:instrText>
          </w:r>
          <w:r>
            <w:fldChar w:fldCharType="separate"/>
          </w:r>
          <w:r>
            <w:rPr>
              <w:rFonts w:hint="eastAsia" w:ascii="宋体" w:hAnsi="宋体" w:cs="宋体"/>
              <w:sz w:val="24"/>
              <w:szCs w:val="24"/>
            </w:rPr>
            <w:t>附件</w:t>
          </w:r>
          <w:r>
            <w:rPr>
              <w:rFonts w:ascii="宋体" w:hAnsi="宋体" w:cs="宋体"/>
              <w:sz w:val="24"/>
              <w:szCs w:val="24"/>
            </w:rPr>
            <w:t xml:space="preserve">9 </w:t>
          </w:r>
          <w:r>
            <w:rPr>
              <w:rFonts w:hint="eastAsia" w:ascii="宋体" w:hAnsi="宋体" w:cs="宋体"/>
              <w:sz w:val="24"/>
              <w:szCs w:val="24"/>
            </w:rPr>
            <w:t>投标人提供补充的证明资料（如果投标人认为需要）</w:t>
          </w:r>
          <w:r>
            <w:rPr>
              <w:sz w:val="24"/>
              <w:szCs w:val="24"/>
            </w:rPr>
            <w:tab/>
          </w:r>
          <w:r>
            <w:rPr>
              <w:sz w:val="24"/>
              <w:szCs w:val="24"/>
            </w:rPr>
            <w:fldChar w:fldCharType="begin"/>
          </w:r>
          <w:r>
            <w:rPr>
              <w:sz w:val="24"/>
              <w:szCs w:val="24"/>
            </w:rPr>
            <w:instrText xml:space="preserve"> PAGEREF _Toc5498 </w:instrText>
          </w:r>
          <w:r>
            <w:rPr>
              <w:sz w:val="24"/>
              <w:szCs w:val="24"/>
            </w:rPr>
            <w:fldChar w:fldCharType="separate"/>
          </w:r>
          <w:r>
            <w:rPr>
              <w:sz w:val="24"/>
              <w:szCs w:val="24"/>
            </w:rPr>
            <w:t>14</w:t>
          </w:r>
          <w:r>
            <w:rPr>
              <w:sz w:val="24"/>
              <w:szCs w:val="24"/>
            </w:rPr>
            <w:fldChar w:fldCharType="end"/>
          </w:r>
          <w:r>
            <w:rPr>
              <w:sz w:val="24"/>
              <w:szCs w:val="24"/>
            </w:rPr>
            <w:fldChar w:fldCharType="end"/>
          </w:r>
        </w:p>
        <w:p>
          <w:pPr>
            <w:rPr>
              <w:rFonts w:hAnsi="宋体" w:cs="黑体"/>
            </w:rPr>
          </w:pPr>
          <w:r>
            <w:rPr>
              <w:rFonts w:hint="eastAsia" w:hAnsi="宋体" w:cs="黑体"/>
              <w:sz w:val="24"/>
              <w:szCs w:val="24"/>
            </w:rPr>
            <w:fldChar w:fldCharType="end"/>
          </w:r>
        </w:p>
      </w:sdtContent>
    </w:sdt>
    <w:p>
      <w:pPr>
        <w:pStyle w:val="2"/>
        <w:spacing w:after="120" w:afterLines="50" w:line="360" w:lineRule="auto"/>
        <w:rPr>
          <w:rFonts w:hAnsi="宋体" w:cs="黑体"/>
        </w:rPr>
        <w:sectPr>
          <w:pgSz w:w="11907" w:h="16840"/>
          <w:pgMar w:top="1440" w:right="1797" w:bottom="1440" w:left="1797" w:header="851" w:footer="992" w:gutter="0"/>
          <w:pgNumType w:start="1"/>
          <w:cols w:space="720" w:num="1"/>
        </w:sectPr>
      </w:pPr>
    </w:p>
    <w:p>
      <w:pPr>
        <w:pStyle w:val="2"/>
        <w:spacing w:after="120" w:afterLines="50" w:line="360" w:lineRule="auto"/>
        <w:rPr>
          <w:rStyle w:val="47"/>
          <w:rFonts w:eastAsia="宋体" w:cs="Times New Roman"/>
          <w:sz w:val="28"/>
          <w:szCs w:val="28"/>
        </w:rPr>
      </w:pPr>
      <w:bookmarkStart w:id="0" w:name="_Toc5648"/>
      <w:r>
        <w:rPr>
          <w:rFonts w:hint="eastAsia" w:hAnsi="宋体" w:cs="黑体"/>
        </w:rPr>
        <w:t>第一部分</w:t>
      </w:r>
      <w:r>
        <w:rPr>
          <w:rFonts w:hAnsi="宋体"/>
        </w:rPr>
        <w:t xml:space="preserve"> </w:t>
      </w:r>
      <w:r>
        <w:rPr>
          <w:rFonts w:hint="eastAsia" w:hAnsi="宋体" w:cs="黑体"/>
        </w:rPr>
        <w:t>投标人须知</w:t>
      </w:r>
      <w:bookmarkEnd w:id="0"/>
    </w:p>
    <w:p>
      <w:pPr>
        <w:spacing w:line="360" w:lineRule="auto"/>
        <w:ind w:firstLine="523" w:firstLineChars="218"/>
        <w:rPr>
          <w:rFonts w:hAnsi="宋体"/>
          <w:sz w:val="24"/>
          <w:szCs w:val="24"/>
        </w:rPr>
      </w:pPr>
      <w:r>
        <w:rPr>
          <w:rFonts w:hint="eastAsia" w:hAnsi="宋体" w:cs="宋体"/>
          <w:sz w:val="24"/>
          <w:szCs w:val="24"/>
        </w:rPr>
        <w:t>现就辽宁对外经贸学院数据中心建设项目，邀请符合资格条件的投标人参加投标。</w:t>
      </w:r>
    </w:p>
    <w:p>
      <w:pPr>
        <w:pStyle w:val="22"/>
        <w:spacing w:before="0" w:beforeAutospacing="0" w:after="0" w:afterAutospacing="0" w:line="360" w:lineRule="auto"/>
        <w:ind w:left="601" w:leftChars="172" w:hanging="240" w:hangingChars="100"/>
        <w:rPr>
          <w:rFonts w:cs="Times New Roman"/>
          <w:color w:val="auto"/>
          <w:sz w:val="24"/>
          <w:szCs w:val="24"/>
        </w:rPr>
      </w:pPr>
      <w:r>
        <w:rPr>
          <w:color w:val="auto"/>
          <w:sz w:val="24"/>
          <w:szCs w:val="24"/>
        </w:rPr>
        <w:t>1</w:t>
      </w:r>
      <w:r>
        <w:rPr>
          <w:rFonts w:hint="eastAsia"/>
          <w:color w:val="auto"/>
          <w:sz w:val="24"/>
          <w:szCs w:val="24"/>
        </w:rPr>
        <w:t>．项</w:t>
      </w:r>
      <w:r>
        <w:rPr>
          <w:color w:val="auto"/>
          <w:sz w:val="24"/>
          <w:szCs w:val="24"/>
        </w:rPr>
        <w:t xml:space="preserve"> </w:t>
      </w:r>
      <w:r>
        <w:rPr>
          <w:rFonts w:hint="eastAsia"/>
          <w:color w:val="auto"/>
          <w:sz w:val="24"/>
          <w:szCs w:val="24"/>
        </w:rPr>
        <w:t>目</w:t>
      </w:r>
      <w:r>
        <w:rPr>
          <w:color w:val="auto"/>
          <w:sz w:val="24"/>
          <w:szCs w:val="24"/>
        </w:rPr>
        <w:t xml:space="preserve"> </w:t>
      </w:r>
      <w:r>
        <w:rPr>
          <w:rFonts w:hint="eastAsia"/>
          <w:color w:val="auto"/>
          <w:sz w:val="24"/>
          <w:szCs w:val="24"/>
        </w:rPr>
        <w:t>名</w:t>
      </w:r>
      <w:r>
        <w:rPr>
          <w:color w:val="auto"/>
          <w:sz w:val="24"/>
          <w:szCs w:val="24"/>
        </w:rPr>
        <w:t xml:space="preserve"> </w:t>
      </w:r>
      <w:r>
        <w:rPr>
          <w:rFonts w:hint="eastAsia"/>
          <w:color w:val="auto"/>
          <w:sz w:val="24"/>
          <w:szCs w:val="24"/>
        </w:rPr>
        <w:t>称：</w:t>
      </w:r>
      <w:r>
        <w:rPr>
          <w:rFonts w:hint="eastAsia"/>
          <w:sz w:val="24"/>
          <w:szCs w:val="24"/>
        </w:rPr>
        <w:t>辽宁对外经贸学院数据中心建设项目</w:t>
      </w:r>
    </w:p>
    <w:p>
      <w:pPr>
        <w:pStyle w:val="22"/>
        <w:spacing w:before="0" w:beforeAutospacing="0" w:after="0" w:afterAutospacing="0" w:line="360" w:lineRule="auto"/>
        <w:ind w:left="601" w:leftChars="172" w:hanging="240" w:hangingChars="100"/>
        <w:rPr>
          <w:rFonts w:cs="Times New Roman"/>
          <w:color w:val="auto"/>
          <w:sz w:val="24"/>
          <w:szCs w:val="24"/>
        </w:rPr>
      </w:pPr>
      <w:r>
        <w:rPr>
          <w:color w:val="auto"/>
          <w:sz w:val="24"/>
          <w:szCs w:val="24"/>
        </w:rPr>
        <w:t>2</w:t>
      </w:r>
      <w:r>
        <w:rPr>
          <w:rFonts w:hint="eastAsia"/>
          <w:color w:val="auto"/>
          <w:sz w:val="24"/>
          <w:szCs w:val="24"/>
        </w:rPr>
        <w:t>．招</w:t>
      </w:r>
      <w:r>
        <w:rPr>
          <w:color w:val="auto"/>
          <w:sz w:val="24"/>
          <w:szCs w:val="24"/>
        </w:rPr>
        <w:t xml:space="preserve">  </w:t>
      </w:r>
      <w:r>
        <w:rPr>
          <w:rFonts w:hint="eastAsia"/>
          <w:color w:val="auto"/>
          <w:sz w:val="24"/>
          <w:szCs w:val="24"/>
        </w:rPr>
        <w:t>标</w:t>
      </w:r>
      <w:r>
        <w:rPr>
          <w:color w:val="auto"/>
          <w:sz w:val="24"/>
          <w:szCs w:val="24"/>
        </w:rPr>
        <w:t xml:space="preserve">  </w:t>
      </w:r>
      <w:r>
        <w:rPr>
          <w:rFonts w:hint="eastAsia"/>
          <w:color w:val="auto"/>
          <w:sz w:val="24"/>
          <w:szCs w:val="24"/>
        </w:rPr>
        <w:t>人：辽宁对外经贸学院</w:t>
      </w:r>
    </w:p>
    <w:p>
      <w:pPr>
        <w:pStyle w:val="22"/>
        <w:spacing w:before="0" w:beforeAutospacing="0" w:after="0" w:afterAutospacing="0" w:line="360" w:lineRule="auto"/>
        <w:ind w:left="601" w:leftChars="172" w:hanging="240" w:hangingChars="100"/>
        <w:rPr>
          <w:rFonts w:cs="Times New Roman"/>
          <w:color w:val="auto"/>
          <w:sz w:val="24"/>
          <w:szCs w:val="24"/>
        </w:rPr>
      </w:pPr>
      <w:r>
        <w:rPr>
          <w:rFonts w:hint="eastAsia"/>
          <w:color w:val="auto"/>
          <w:sz w:val="24"/>
          <w:szCs w:val="24"/>
        </w:rPr>
        <w:t>3．招标内容：本次招标是为确定</w:t>
      </w:r>
      <w:r>
        <w:rPr>
          <w:rFonts w:hint="eastAsia"/>
          <w:sz w:val="24"/>
          <w:szCs w:val="24"/>
        </w:rPr>
        <w:t>本项目</w:t>
      </w:r>
      <w:r>
        <w:rPr>
          <w:rFonts w:hint="eastAsia"/>
          <w:color w:val="auto"/>
          <w:sz w:val="24"/>
          <w:szCs w:val="24"/>
        </w:rPr>
        <w:t>的供应商，详见第二部分“用户需求”。</w:t>
      </w:r>
    </w:p>
    <w:p>
      <w:pPr>
        <w:pStyle w:val="22"/>
        <w:spacing w:before="0" w:beforeAutospacing="0" w:after="0" w:afterAutospacing="0" w:line="360" w:lineRule="auto"/>
        <w:ind w:left="601" w:leftChars="172" w:hanging="240" w:hangingChars="100"/>
        <w:rPr>
          <w:rFonts w:cs="Times New Roman"/>
          <w:color w:val="auto"/>
          <w:sz w:val="24"/>
          <w:szCs w:val="24"/>
        </w:rPr>
      </w:pPr>
      <w:r>
        <w:rPr>
          <w:rFonts w:hint="eastAsia"/>
          <w:color w:val="auto"/>
          <w:sz w:val="24"/>
          <w:szCs w:val="24"/>
        </w:rPr>
        <w:t>4．投标人资格条件</w:t>
      </w:r>
    </w:p>
    <w:p>
      <w:pPr>
        <w:pStyle w:val="22"/>
        <w:spacing w:before="0" w:beforeAutospacing="0" w:after="0" w:afterAutospacing="0" w:line="360" w:lineRule="auto"/>
        <w:ind w:firstLine="480" w:firstLineChars="200"/>
        <w:jc w:val="both"/>
        <w:rPr>
          <w:rFonts w:cs="Times New Roman"/>
          <w:color w:val="auto"/>
          <w:sz w:val="24"/>
          <w:szCs w:val="24"/>
        </w:rPr>
      </w:pPr>
      <w:r>
        <w:rPr>
          <w:color w:val="auto"/>
          <w:sz w:val="24"/>
          <w:szCs w:val="24"/>
        </w:rPr>
        <w:t>(1)</w:t>
      </w:r>
      <w:r>
        <w:rPr>
          <w:rFonts w:hint="eastAsia"/>
          <w:color w:val="auto"/>
          <w:sz w:val="24"/>
          <w:szCs w:val="24"/>
        </w:rPr>
        <w:t>在中国境内注册的独立企业法人，</w:t>
      </w:r>
      <w:r>
        <w:rPr>
          <w:rFonts w:hint="eastAsia"/>
          <w:sz w:val="24"/>
          <w:szCs w:val="24"/>
        </w:rPr>
        <w:t>注册资金不低于</w:t>
      </w:r>
      <w:r>
        <w:rPr>
          <w:sz w:val="24"/>
          <w:szCs w:val="24"/>
        </w:rPr>
        <w:t>100</w:t>
      </w:r>
      <w:r>
        <w:rPr>
          <w:rFonts w:hint="eastAsia"/>
          <w:sz w:val="24"/>
          <w:szCs w:val="24"/>
        </w:rPr>
        <w:t>万元人民币</w:t>
      </w:r>
      <w:r>
        <w:rPr>
          <w:rFonts w:hint="eastAsia"/>
          <w:color w:val="auto"/>
          <w:sz w:val="24"/>
          <w:szCs w:val="24"/>
        </w:rPr>
        <w:t>。</w:t>
      </w:r>
    </w:p>
    <w:p>
      <w:pPr>
        <w:pStyle w:val="22"/>
        <w:spacing w:before="0" w:beforeAutospacing="0" w:after="0" w:afterAutospacing="0" w:line="360" w:lineRule="auto"/>
        <w:ind w:firstLine="480" w:firstLineChars="200"/>
        <w:jc w:val="both"/>
        <w:rPr>
          <w:rFonts w:cs="Times New Roman"/>
          <w:color w:val="auto"/>
          <w:sz w:val="24"/>
          <w:szCs w:val="24"/>
        </w:rPr>
      </w:pPr>
      <w:r>
        <w:rPr>
          <w:color w:val="auto"/>
          <w:sz w:val="24"/>
          <w:szCs w:val="24"/>
        </w:rPr>
        <w:t>(2)</w:t>
      </w:r>
      <w:r>
        <w:rPr>
          <w:rFonts w:hint="eastAsia"/>
          <w:color w:val="auto"/>
          <w:sz w:val="24"/>
          <w:szCs w:val="24"/>
        </w:rPr>
        <w:t>投标人应至少有</w:t>
      </w:r>
      <w:r>
        <w:rPr>
          <w:color w:val="auto"/>
          <w:sz w:val="24"/>
          <w:szCs w:val="24"/>
        </w:rPr>
        <w:t>2</w:t>
      </w:r>
      <w:r>
        <w:rPr>
          <w:rFonts w:hint="eastAsia"/>
          <w:color w:val="auto"/>
          <w:sz w:val="24"/>
          <w:szCs w:val="24"/>
        </w:rPr>
        <w:t>个同类项目施工经验，提供合同复印件。</w:t>
      </w:r>
    </w:p>
    <w:p>
      <w:pPr>
        <w:pStyle w:val="22"/>
        <w:spacing w:before="0" w:beforeAutospacing="0" w:after="0" w:afterAutospacing="0" w:line="360" w:lineRule="auto"/>
        <w:ind w:left="265" w:leftChars="126" w:firstLine="240" w:firstLineChars="100"/>
        <w:jc w:val="both"/>
        <w:rPr>
          <w:rFonts w:cs="Times New Roman"/>
          <w:color w:val="auto"/>
          <w:sz w:val="24"/>
          <w:szCs w:val="24"/>
        </w:rPr>
      </w:pPr>
      <w:r>
        <w:rPr>
          <w:rFonts w:hint="eastAsia"/>
          <w:color w:val="auto"/>
          <w:sz w:val="24"/>
          <w:szCs w:val="24"/>
        </w:rPr>
        <w:t>(3)供应商须提供超融合服务器、虚拟化软件、交换机的由生产厂商针对此次项目的合法授权原件及售后服务承诺函。</w:t>
      </w:r>
    </w:p>
    <w:p>
      <w:pPr>
        <w:pStyle w:val="22"/>
        <w:spacing w:before="0" w:beforeAutospacing="0" w:after="0" w:afterAutospacing="0" w:line="360" w:lineRule="auto"/>
        <w:ind w:firstLine="480" w:firstLineChars="200"/>
        <w:jc w:val="both"/>
        <w:rPr>
          <w:rFonts w:cs="Times New Roman"/>
          <w:color w:val="auto"/>
          <w:sz w:val="24"/>
          <w:szCs w:val="24"/>
        </w:rPr>
      </w:pPr>
      <w:r>
        <w:rPr>
          <w:rFonts w:hint="eastAsia"/>
          <w:color w:val="auto"/>
          <w:sz w:val="24"/>
          <w:szCs w:val="24"/>
        </w:rPr>
        <w:t>(4)投标人具有本地服务能力，外地投标人须具有在大连地区工商行政管理部门注册的售后服务机构</w:t>
      </w:r>
      <w:r>
        <w:rPr>
          <w:color w:val="auto"/>
          <w:sz w:val="24"/>
          <w:szCs w:val="24"/>
        </w:rPr>
        <w:t>(</w:t>
      </w:r>
      <w:r>
        <w:rPr>
          <w:rFonts w:hint="eastAsia"/>
          <w:color w:val="auto"/>
          <w:sz w:val="24"/>
          <w:szCs w:val="24"/>
        </w:rPr>
        <w:t>注册时间需超过一年）。</w:t>
      </w:r>
    </w:p>
    <w:p>
      <w:pPr>
        <w:pStyle w:val="22"/>
        <w:spacing w:before="0" w:beforeAutospacing="0" w:after="0" w:afterAutospacing="0" w:line="360" w:lineRule="auto"/>
        <w:ind w:firstLine="480" w:firstLineChars="200"/>
        <w:jc w:val="both"/>
        <w:rPr>
          <w:color w:val="auto"/>
          <w:sz w:val="24"/>
          <w:szCs w:val="24"/>
        </w:rPr>
      </w:pPr>
      <w:r>
        <w:rPr>
          <w:color w:val="auto"/>
          <w:sz w:val="24"/>
          <w:szCs w:val="24"/>
        </w:rPr>
        <w:t>(5)</w:t>
      </w:r>
      <w:r>
        <w:rPr>
          <w:rFonts w:hint="eastAsia"/>
          <w:color w:val="auto"/>
          <w:sz w:val="24"/>
          <w:szCs w:val="24"/>
        </w:rPr>
        <w:t>本项目不接受联合体投标。</w:t>
      </w:r>
    </w:p>
    <w:p>
      <w:pPr>
        <w:pStyle w:val="22"/>
        <w:spacing w:before="0" w:beforeAutospacing="0" w:after="0" w:afterAutospacing="0" w:line="360" w:lineRule="auto"/>
        <w:ind w:firstLine="480" w:firstLineChars="200"/>
        <w:jc w:val="both"/>
        <w:rPr>
          <w:rFonts w:cs="Times New Roman"/>
          <w:sz w:val="24"/>
          <w:szCs w:val="24"/>
        </w:rPr>
      </w:pPr>
      <w:r>
        <w:rPr>
          <w:rFonts w:hint="eastAsia"/>
          <w:sz w:val="24"/>
          <w:szCs w:val="24"/>
        </w:rPr>
        <w:t>5．现场踏勘：请各投标人和学校联系，自行组织人员前往现场踏勘。</w:t>
      </w:r>
    </w:p>
    <w:p>
      <w:pPr>
        <w:pStyle w:val="22"/>
        <w:spacing w:before="0" w:beforeAutospacing="0" w:after="0" w:afterAutospacing="0" w:line="360" w:lineRule="auto"/>
        <w:ind w:firstLine="480" w:firstLineChars="200"/>
        <w:jc w:val="both"/>
        <w:rPr>
          <w:rFonts w:cs="Times New Roman"/>
          <w:color w:val="auto"/>
          <w:sz w:val="24"/>
          <w:szCs w:val="24"/>
        </w:rPr>
      </w:pPr>
      <w:r>
        <w:rPr>
          <w:rFonts w:hint="eastAsia"/>
          <w:color w:val="auto"/>
          <w:sz w:val="24"/>
          <w:szCs w:val="24"/>
        </w:rPr>
        <w:t>6</w:t>
      </w:r>
      <w:r>
        <w:rPr>
          <w:rFonts w:hint="eastAsia"/>
          <w:sz w:val="24"/>
          <w:szCs w:val="24"/>
        </w:rPr>
        <w:t>．</w:t>
      </w:r>
      <w:r>
        <w:rPr>
          <w:rFonts w:hint="eastAsia"/>
          <w:color w:val="auto"/>
          <w:sz w:val="24"/>
          <w:szCs w:val="24"/>
        </w:rPr>
        <w:t>投标文件组成：</w:t>
      </w:r>
    </w:p>
    <w:p>
      <w:pPr>
        <w:pStyle w:val="22"/>
        <w:spacing w:before="0" w:beforeAutospacing="0" w:after="0" w:afterAutospacing="0" w:line="360" w:lineRule="auto"/>
        <w:ind w:firstLine="600" w:firstLineChars="250"/>
        <w:jc w:val="both"/>
        <w:rPr>
          <w:rFonts w:cs="Times New Roman"/>
          <w:color w:val="auto"/>
          <w:sz w:val="24"/>
          <w:szCs w:val="24"/>
        </w:rPr>
      </w:pPr>
      <w:r>
        <w:rPr>
          <w:color w:val="auto"/>
          <w:sz w:val="24"/>
          <w:szCs w:val="24"/>
        </w:rPr>
        <w:t>(1)</w:t>
      </w:r>
      <w:r>
        <w:rPr>
          <w:rFonts w:hint="eastAsia"/>
          <w:color w:val="auto"/>
          <w:sz w:val="24"/>
          <w:szCs w:val="24"/>
        </w:rPr>
        <w:t>报价函（格式见附件</w:t>
      </w:r>
      <w:r>
        <w:rPr>
          <w:color w:val="auto"/>
          <w:sz w:val="24"/>
          <w:szCs w:val="24"/>
        </w:rPr>
        <w:t>1</w:t>
      </w:r>
      <w:r>
        <w:rPr>
          <w:rFonts w:hint="eastAsia"/>
          <w:color w:val="auto"/>
          <w:sz w:val="24"/>
          <w:szCs w:val="24"/>
        </w:rPr>
        <w:t>）；</w:t>
      </w:r>
    </w:p>
    <w:p>
      <w:pPr>
        <w:pStyle w:val="22"/>
        <w:spacing w:before="0" w:beforeAutospacing="0" w:after="0" w:afterAutospacing="0" w:line="360" w:lineRule="auto"/>
        <w:ind w:firstLine="600" w:firstLineChars="250"/>
        <w:jc w:val="both"/>
        <w:rPr>
          <w:rFonts w:cs="Times New Roman"/>
          <w:color w:val="auto"/>
          <w:sz w:val="24"/>
          <w:szCs w:val="24"/>
        </w:rPr>
      </w:pPr>
      <w:r>
        <w:rPr>
          <w:color w:val="auto"/>
          <w:sz w:val="24"/>
          <w:szCs w:val="24"/>
        </w:rPr>
        <w:t>(2)</w:t>
      </w:r>
      <w:r>
        <w:rPr>
          <w:rFonts w:hint="eastAsia"/>
          <w:color w:val="auto"/>
          <w:sz w:val="24"/>
          <w:szCs w:val="24"/>
        </w:rPr>
        <w:t>法定代表人授权书（格式见附件</w:t>
      </w:r>
      <w:r>
        <w:rPr>
          <w:color w:val="auto"/>
          <w:sz w:val="24"/>
          <w:szCs w:val="24"/>
        </w:rPr>
        <w:t>2</w:t>
      </w:r>
      <w:r>
        <w:rPr>
          <w:rFonts w:hint="eastAsia"/>
          <w:color w:val="auto"/>
          <w:sz w:val="24"/>
          <w:szCs w:val="24"/>
        </w:rPr>
        <w:t>）；</w:t>
      </w:r>
    </w:p>
    <w:p>
      <w:pPr>
        <w:pStyle w:val="22"/>
        <w:spacing w:before="0" w:beforeAutospacing="0" w:after="0" w:afterAutospacing="0" w:line="360" w:lineRule="auto"/>
        <w:ind w:firstLine="600" w:firstLineChars="250"/>
        <w:jc w:val="both"/>
        <w:rPr>
          <w:rFonts w:cs="Times New Roman"/>
          <w:color w:val="auto"/>
          <w:sz w:val="24"/>
          <w:szCs w:val="24"/>
        </w:rPr>
      </w:pPr>
      <w:r>
        <w:rPr>
          <w:color w:val="auto"/>
          <w:sz w:val="24"/>
          <w:szCs w:val="24"/>
        </w:rPr>
        <w:t>(3)</w:t>
      </w:r>
      <w:r>
        <w:rPr>
          <w:rFonts w:hint="eastAsia"/>
          <w:color w:val="auto"/>
          <w:sz w:val="24"/>
          <w:szCs w:val="24"/>
        </w:rPr>
        <w:t>报价表（格式见附件</w:t>
      </w:r>
      <w:r>
        <w:rPr>
          <w:color w:val="auto"/>
          <w:sz w:val="24"/>
          <w:szCs w:val="24"/>
        </w:rPr>
        <w:t>3</w:t>
      </w:r>
      <w:r>
        <w:rPr>
          <w:rFonts w:hint="eastAsia"/>
          <w:color w:val="auto"/>
          <w:sz w:val="24"/>
          <w:szCs w:val="24"/>
        </w:rPr>
        <w:t>）；</w:t>
      </w:r>
    </w:p>
    <w:p>
      <w:pPr>
        <w:pStyle w:val="22"/>
        <w:spacing w:before="0" w:beforeAutospacing="0" w:after="0" w:afterAutospacing="0" w:line="360" w:lineRule="auto"/>
        <w:ind w:firstLine="600" w:firstLineChars="250"/>
        <w:jc w:val="both"/>
        <w:rPr>
          <w:rFonts w:cs="Times New Roman"/>
          <w:color w:val="auto"/>
          <w:sz w:val="24"/>
          <w:szCs w:val="24"/>
        </w:rPr>
      </w:pPr>
      <w:r>
        <w:rPr>
          <w:color w:val="auto"/>
          <w:sz w:val="24"/>
          <w:szCs w:val="24"/>
        </w:rPr>
        <w:t>(4)</w:t>
      </w:r>
      <w:r>
        <w:rPr>
          <w:rFonts w:hint="eastAsia"/>
          <w:color w:val="auto"/>
          <w:sz w:val="24"/>
          <w:szCs w:val="24"/>
        </w:rPr>
        <w:t>规格响应表（格式见附件</w:t>
      </w:r>
      <w:r>
        <w:rPr>
          <w:color w:val="auto"/>
          <w:sz w:val="24"/>
          <w:szCs w:val="24"/>
        </w:rPr>
        <w:t>4</w:t>
      </w:r>
      <w:r>
        <w:rPr>
          <w:rFonts w:hint="eastAsia"/>
          <w:color w:val="auto"/>
          <w:sz w:val="24"/>
          <w:szCs w:val="24"/>
        </w:rPr>
        <w:t>）；</w:t>
      </w:r>
    </w:p>
    <w:p>
      <w:pPr>
        <w:pStyle w:val="22"/>
        <w:spacing w:before="0" w:beforeAutospacing="0" w:after="0" w:afterAutospacing="0" w:line="360" w:lineRule="auto"/>
        <w:ind w:firstLine="600" w:firstLineChars="250"/>
        <w:jc w:val="both"/>
        <w:rPr>
          <w:rFonts w:cs="Times New Roman"/>
          <w:color w:val="auto"/>
          <w:sz w:val="24"/>
          <w:szCs w:val="24"/>
        </w:rPr>
      </w:pPr>
      <w:r>
        <w:rPr>
          <w:color w:val="auto"/>
          <w:sz w:val="24"/>
          <w:szCs w:val="24"/>
        </w:rPr>
        <w:t>(5)</w:t>
      </w:r>
      <w:r>
        <w:rPr>
          <w:rFonts w:hint="eastAsia"/>
          <w:color w:val="auto"/>
          <w:sz w:val="24"/>
          <w:szCs w:val="24"/>
        </w:rPr>
        <w:t>售后服务承诺书（格式见附件</w:t>
      </w:r>
      <w:r>
        <w:rPr>
          <w:color w:val="auto"/>
          <w:sz w:val="24"/>
          <w:szCs w:val="24"/>
        </w:rPr>
        <w:t>5</w:t>
      </w:r>
      <w:r>
        <w:rPr>
          <w:rFonts w:hint="eastAsia"/>
          <w:color w:val="auto"/>
          <w:sz w:val="24"/>
          <w:szCs w:val="24"/>
        </w:rPr>
        <w:t>）；</w:t>
      </w:r>
    </w:p>
    <w:p>
      <w:pPr>
        <w:pStyle w:val="22"/>
        <w:spacing w:before="0" w:beforeAutospacing="0" w:after="0" w:afterAutospacing="0" w:line="360" w:lineRule="auto"/>
        <w:ind w:firstLine="600" w:firstLineChars="250"/>
        <w:jc w:val="both"/>
        <w:rPr>
          <w:rFonts w:cs="Times New Roman"/>
          <w:color w:val="auto"/>
          <w:sz w:val="24"/>
          <w:szCs w:val="24"/>
        </w:rPr>
      </w:pPr>
      <w:r>
        <w:rPr>
          <w:color w:val="auto"/>
          <w:sz w:val="24"/>
          <w:szCs w:val="24"/>
        </w:rPr>
        <w:t>(6)</w:t>
      </w:r>
      <w:r>
        <w:rPr>
          <w:rFonts w:hint="eastAsia"/>
          <w:color w:val="auto"/>
          <w:sz w:val="24"/>
          <w:szCs w:val="24"/>
        </w:rPr>
        <w:t>投标人营业执照复印件；</w:t>
      </w:r>
    </w:p>
    <w:p>
      <w:pPr>
        <w:pStyle w:val="22"/>
        <w:spacing w:before="0" w:beforeAutospacing="0" w:after="0" w:afterAutospacing="0" w:line="360" w:lineRule="auto"/>
        <w:ind w:firstLine="600" w:firstLineChars="250"/>
        <w:jc w:val="both"/>
        <w:rPr>
          <w:rFonts w:cs="Times New Roman"/>
          <w:color w:val="auto"/>
          <w:sz w:val="24"/>
          <w:szCs w:val="24"/>
        </w:rPr>
      </w:pPr>
      <w:r>
        <w:rPr>
          <w:rFonts w:hint="eastAsia"/>
          <w:color w:val="auto"/>
          <w:sz w:val="24"/>
          <w:szCs w:val="24"/>
        </w:rPr>
        <w:t>(7)提供实施案例佐证材料；</w:t>
      </w:r>
    </w:p>
    <w:p>
      <w:pPr>
        <w:pStyle w:val="22"/>
        <w:spacing w:before="0" w:beforeAutospacing="0" w:after="0" w:afterAutospacing="0" w:line="360" w:lineRule="auto"/>
        <w:ind w:firstLine="600" w:firstLineChars="250"/>
        <w:jc w:val="both"/>
        <w:rPr>
          <w:rFonts w:cs="Times New Roman"/>
          <w:color w:val="auto"/>
          <w:sz w:val="24"/>
          <w:szCs w:val="24"/>
        </w:rPr>
      </w:pPr>
      <w:r>
        <w:rPr>
          <w:color w:val="auto"/>
          <w:sz w:val="24"/>
          <w:szCs w:val="24"/>
        </w:rPr>
        <w:t>(</w:t>
      </w:r>
      <w:r>
        <w:rPr>
          <w:rFonts w:hint="eastAsia"/>
          <w:color w:val="auto"/>
          <w:sz w:val="24"/>
          <w:szCs w:val="24"/>
        </w:rPr>
        <w:t>8</w:t>
      </w:r>
      <w:r>
        <w:rPr>
          <w:color w:val="auto"/>
          <w:sz w:val="24"/>
          <w:szCs w:val="24"/>
        </w:rPr>
        <w:t>)</w:t>
      </w:r>
      <w:r>
        <w:rPr>
          <w:rFonts w:hint="eastAsia"/>
          <w:color w:val="auto"/>
          <w:sz w:val="24"/>
          <w:szCs w:val="24"/>
        </w:rPr>
        <w:t>投标人需要提供的其他资料。</w:t>
      </w:r>
    </w:p>
    <w:p>
      <w:pPr>
        <w:pStyle w:val="22"/>
        <w:spacing w:before="0" w:beforeAutospacing="0" w:after="0" w:afterAutospacing="0" w:line="360" w:lineRule="auto"/>
        <w:ind w:left="210" w:leftChars="100" w:firstLine="480" w:firstLineChars="200"/>
        <w:jc w:val="both"/>
        <w:rPr>
          <w:rFonts w:cs="Times New Roman"/>
          <w:color w:val="auto"/>
          <w:sz w:val="24"/>
          <w:szCs w:val="24"/>
        </w:rPr>
      </w:pPr>
      <w:r>
        <w:rPr>
          <w:rFonts w:hint="eastAsia"/>
          <w:color w:val="auto"/>
          <w:sz w:val="24"/>
          <w:szCs w:val="24"/>
        </w:rPr>
        <w:t>注：</w:t>
      </w:r>
      <w:r>
        <w:rPr>
          <w:color w:val="auto"/>
          <w:sz w:val="24"/>
          <w:szCs w:val="24"/>
        </w:rPr>
        <w:t xml:space="preserve">* </w:t>
      </w:r>
      <w:r>
        <w:rPr>
          <w:rFonts w:hint="eastAsia"/>
          <w:color w:val="auto"/>
          <w:sz w:val="24"/>
          <w:szCs w:val="24"/>
        </w:rPr>
        <w:t>以上文件请按顺序装订。</w:t>
      </w:r>
    </w:p>
    <w:p>
      <w:pPr>
        <w:spacing w:line="360" w:lineRule="auto"/>
        <w:ind w:firstLine="480" w:firstLineChars="200"/>
        <w:rPr>
          <w:rFonts w:hAnsi="宋体"/>
          <w:sz w:val="24"/>
          <w:szCs w:val="24"/>
        </w:rPr>
      </w:pPr>
      <w:r>
        <w:rPr>
          <w:rFonts w:hint="eastAsia" w:hAnsi="宋体"/>
          <w:sz w:val="24"/>
          <w:szCs w:val="24"/>
        </w:rPr>
        <w:t>7</w:t>
      </w:r>
      <w:r>
        <w:rPr>
          <w:rFonts w:hint="eastAsia" w:hAnsi="宋体" w:cs="宋体"/>
          <w:sz w:val="24"/>
          <w:szCs w:val="24"/>
        </w:rPr>
        <w:t>．投标报价</w:t>
      </w:r>
    </w:p>
    <w:p>
      <w:pPr>
        <w:pStyle w:val="22"/>
        <w:spacing w:before="0" w:beforeAutospacing="0" w:after="0" w:afterAutospacing="0" w:line="360" w:lineRule="auto"/>
        <w:ind w:firstLine="480" w:firstLineChars="200"/>
        <w:jc w:val="both"/>
        <w:rPr>
          <w:rFonts w:cs="Times New Roman"/>
          <w:color w:val="auto"/>
          <w:sz w:val="24"/>
          <w:szCs w:val="24"/>
        </w:rPr>
      </w:pPr>
      <w:r>
        <w:rPr>
          <w:rFonts w:hint="eastAsia"/>
          <w:color w:val="auto"/>
          <w:sz w:val="24"/>
          <w:szCs w:val="24"/>
        </w:rPr>
        <w:t>投标报价应包括投标人为达到招标文件要求服务内容所提供各项服务的所有费用，投标人在报价时应充分考虑本次招标的各种风险（包括漏项风险）。</w:t>
      </w:r>
    </w:p>
    <w:p>
      <w:pPr>
        <w:pStyle w:val="22"/>
        <w:spacing w:before="0" w:beforeAutospacing="0" w:after="0" w:afterAutospacing="0" w:line="360" w:lineRule="auto"/>
        <w:ind w:firstLine="480" w:firstLineChars="200"/>
        <w:jc w:val="both"/>
        <w:rPr>
          <w:rFonts w:cs="Times New Roman"/>
          <w:color w:val="auto"/>
          <w:sz w:val="24"/>
          <w:szCs w:val="24"/>
        </w:rPr>
      </w:pPr>
      <w:r>
        <w:rPr>
          <w:rFonts w:hint="eastAsia"/>
          <w:color w:val="auto"/>
          <w:sz w:val="24"/>
          <w:szCs w:val="24"/>
        </w:rPr>
        <w:t>8．项目完成时间：</w:t>
      </w:r>
      <w:r>
        <w:rPr>
          <w:rFonts w:hint="eastAsia"/>
          <w:sz w:val="24"/>
          <w:szCs w:val="24"/>
          <w:highlight w:val="yellow"/>
        </w:rPr>
        <w:t>合同签订后60个日历日。</w:t>
      </w:r>
    </w:p>
    <w:p>
      <w:pPr>
        <w:pStyle w:val="22"/>
        <w:spacing w:before="0" w:beforeAutospacing="0" w:after="0" w:afterAutospacing="0" w:line="360" w:lineRule="auto"/>
        <w:ind w:firstLine="480" w:firstLineChars="200"/>
        <w:jc w:val="both"/>
        <w:rPr>
          <w:rFonts w:cs="Times New Roman"/>
          <w:color w:val="auto"/>
          <w:sz w:val="24"/>
          <w:szCs w:val="24"/>
        </w:rPr>
      </w:pPr>
      <w:r>
        <w:rPr>
          <w:rFonts w:hint="eastAsia"/>
          <w:color w:val="auto"/>
          <w:sz w:val="24"/>
          <w:szCs w:val="24"/>
        </w:rPr>
        <w:t>9．供应商应承担所有与编写和提交报价文件有关的费用，不论谈判结果如何，采购人在任何情况下均无义务和责任承担这些费用。</w:t>
      </w:r>
    </w:p>
    <w:p>
      <w:pPr>
        <w:pStyle w:val="22"/>
        <w:spacing w:before="0" w:beforeAutospacing="0" w:after="0" w:afterAutospacing="0" w:line="360" w:lineRule="auto"/>
        <w:ind w:firstLine="480" w:firstLineChars="200"/>
        <w:jc w:val="both"/>
        <w:rPr>
          <w:rFonts w:cs="Times New Roman"/>
          <w:color w:val="auto"/>
          <w:sz w:val="24"/>
          <w:szCs w:val="24"/>
        </w:rPr>
      </w:pPr>
      <w:r>
        <w:rPr>
          <w:color w:val="auto"/>
          <w:sz w:val="24"/>
          <w:szCs w:val="24"/>
        </w:rPr>
        <w:t>1</w:t>
      </w:r>
      <w:r>
        <w:rPr>
          <w:rFonts w:hint="eastAsia"/>
          <w:color w:val="auto"/>
          <w:sz w:val="24"/>
          <w:szCs w:val="24"/>
        </w:rPr>
        <w:t>0．付款方式</w:t>
      </w:r>
    </w:p>
    <w:p>
      <w:pPr>
        <w:pStyle w:val="22"/>
        <w:spacing w:before="0" w:beforeAutospacing="0" w:after="0" w:afterAutospacing="0" w:line="360" w:lineRule="auto"/>
        <w:ind w:firstLine="480" w:firstLineChars="200"/>
        <w:jc w:val="both"/>
        <w:rPr>
          <w:rFonts w:cs="Times New Roman"/>
          <w:color w:val="auto"/>
          <w:sz w:val="24"/>
          <w:szCs w:val="24"/>
        </w:rPr>
      </w:pPr>
      <w:r>
        <w:rPr>
          <w:rFonts w:hint="eastAsia"/>
          <w:color w:val="auto"/>
          <w:sz w:val="24"/>
          <w:szCs w:val="24"/>
          <w:highlight w:val="yellow"/>
        </w:rPr>
        <w:t>各个系统安装调试运转正常后，学校验收通过后付合同总额的</w:t>
      </w:r>
      <w:r>
        <w:rPr>
          <w:color w:val="auto"/>
          <w:sz w:val="24"/>
          <w:szCs w:val="24"/>
          <w:highlight w:val="yellow"/>
        </w:rPr>
        <w:t>90%</w:t>
      </w:r>
      <w:r>
        <w:rPr>
          <w:rFonts w:hint="eastAsia"/>
          <w:color w:val="auto"/>
          <w:sz w:val="24"/>
          <w:szCs w:val="24"/>
          <w:highlight w:val="yellow"/>
        </w:rPr>
        <w:t>，其余10%款项</w:t>
      </w:r>
      <w:r>
        <w:rPr>
          <w:rFonts w:hint="eastAsia"/>
          <w:color w:val="auto"/>
          <w:sz w:val="24"/>
          <w:szCs w:val="24"/>
        </w:rPr>
        <w:t>作为质保金，于验收合格一年，如无质量问题予以支付。</w:t>
      </w:r>
    </w:p>
    <w:p>
      <w:pPr>
        <w:pStyle w:val="22"/>
        <w:spacing w:before="0" w:beforeAutospacing="0" w:after="0" w:afterAutospacing="0" w:line="360" w:lineRule="auto"/>
        <w:ind w:firstLine="480" w:firstLineChars="200"/>
        <w:jc w:val="both"/>
        <w:rPr>
          <w:rFonts w:cs="Times New Roman"/>
          <w:color w:val="auto"/>
          <w:sz w:val="24"/>
          <w:szCs w:val="24"/>
        </w:rPr>
      </w:pPr>
      <w:r>
        <w:rPr>
          <w:color w:val="auto"/>
          <w:sz w:val="24"/>
          <w:szCs w:val="24"/>
        </w:rPr>
        <w:t>1</w:t>
      </w:r>
      <w:r>
        <w:rPr>
          <w:rFonts w:hint="eastAsia"/>
          <w:color w:val="auto"/>
          <w:sz w:val="24"/>
          <w:szCs w:val="24"/>
        </w:rPr>
        <w:t>1．开标与评标</w:t>
      </w:r>
    </w:p>
    <w:p>
      <w:pPr>
        <w:pStyle w:val="22"/>
        <w:spacing w:before="0" w:beforeAutospacing="0" w:after="0" w:afterAutospacing="0" w:line="360" w:lineRule="auto"/>
        <w:ind w:firstLine="480" w:firstLineChars="200"/>
        <w:jc w:val="both"/>
        <w:rPr>
          <w:rFonts w:cs="Times New Roman"/>
          <w:color w:val="auto"/>
          <w:sz w:val="24"/>
          <w:szCs w:val="24"/>
        </w:rPr>
      </w:pPr>
      <w:r>
        <w:rPr>
          <w:rFonts w:hint="eastAsia"/>
          <w:color w:val="auto"/>
          <w:sz w:val="24"/>
          <w:szCs w:val="24"/>
        </w:rPr>
        <w:t>由学校招投标委员会对各投标商就用户需求、产品性能、报价、技术方案、售后服务、交货期、类似相关案例等进行综合审查。初审结束后，评标小组可要求所有投标商在规定时间内进行最后报价。评标小组根据各投标商的最终报价等情况推荐候选投标商。学校招投标委员会根据谈判小组提出的成交候选投标商及对投标的考察情况最终确定投标。在评标过程中，任何一方不得透露与投标有关的其它投标的技术资料、价格和其他信息。</w:t>
      </w:r>
    </w:p>
    <w:p>
      <w:pPr>
        <w:pStyle w:val="22"/>
        <w:spacing w:before="0" w:beforeAutospacing="0" w:after="0" w:afterAutospacing="0" w:line="360" w:lineRule="auto"/>
        <w:ind w:firstLine="480" w:firstLineChars="200"/>
        <w:jc w:val="both"/>
        <w:rPr>
          <w:rFonts w:cs="Times New Roman"/>
          <w:color w:val="auto"/>
          <w:sz w:val="24"/>
          <w:szCs w:val="24"/>
        </w:rPr>
      </w:pPr>
      <w:r>
        <w:rPr>
          <w:color w:val="auto"/>
          <w:sz w:val="24"/>
          <w:szCs w:val="24"/>
        </w:rPr>
        <w:t>1</w:t>
      </w:r>
      <w:r>
        <w:rPr>
          <w:rFonts w:hint="eastAsia"/>
          <w:color w:val="auto"/>
          <w:sz w:val="24"/>
          <w:szCs w:val="24"/>
        </w:rPr>
        <w:t>2</w:t>
      </w:r>
      <w:r>
        <w:rPr>
          <w:color w:val="auto"/>
          <w:sz w:val="24"/>
          <w:szCs w:val="24"/>
        </w:rPr>
        <w:t>.</w:t>
      </w:r>
      <w:r>
        <w:rPr>
          <w:sz w:val="24"/>
          <w:szCs w:val="24"/>
        </w:rPr>
        <w:t xml:space="preserve"> </w:t>
      </w:r>
      <w:r>
        <w:rPr>
          <w:rFonts w:hint="eastAsia"/>
          <w:color w:val="auto"/>
          <w:sz w:val="24"/>
          <w:szCs w:val="24"/>
        </w:rPr>
        <w:t>投标文件签署及密封：投标文件必须由法人代表或其授权代表签署，并加盖投标方印章，</w:t>
      </w:r>
      <w:r>
        <w:rPr>
          <w:rFonts w:hint="eastAsia"/>
          <w:color w:val="auto"/>
          <w:sz w:val="24"/>
          <w:szCs w:val="24"/>
          <w:highlight w:val="yellow"/>
        </w:rPr>
        <w:t>正本一份，副本六份</w:t>
      </w:r>
      <w:r>
        <w:rPr>
          <w:rFonts w:hint="eastAsia"/>
          <w:color w:val="auto"/>
          <w:sz w:val="24"/>
          <w:szCs w:val="24"/>
        </w:rPr>
        <w:t>，装订成册后密封送达。</w:t>
      </w:r>
    </w:p>
    <w:p>
      <w:pPr>
        <w:pStyle w:val="22"/>
        <w:tabs>
          <w:tab w:val="left" w:pos="426"/>
        </w:tabs>
        <w:spacing w:before="0" w:beforeAutospacing="0" w:after="0" w:afterAutospacing="0" w:line="360" w:lineRule="auto"/>
        <w:ind w:firstLine="480" w:firstLineChars="200"/>
        <w:rPr>
          <w:rFonts w:cs="Times New Roman"/>
          <w:color w:val="auto"/>
          <w:sz w:val="24"/>
          <w:szCs w:val="24"/>
        </w:rPr>
      </w:pPr>
      <w:r>
        <w:rPr>
          <w:color w:val="auto"/>
          <w:sz w:val="24"/>
          <w:szCs w:val="24"/>
        </w:rPr>
        <w:t>1</w:t>
      </w:r>
      <w:r>
        <w:rPr>
          <w:rFonts w:hint="eastAsia"/>
          <w:color w:val="auto"/>
          <w:sz w:val="24"/>
          <w:szCs w:val="24"/>
        </w:rPr>
        <w:t>3．投标文件递交地点：</w:t>
      </w:r>
      <w:r>
        <w:rPr>
          <w:rFonts w:hint="eastAsia"/>
          <w:color w:val="auto"/>
          <w:sz w:val="24"/>
          <w:szCs w:val="24"/>
          <w:highlight w:val="yellow"/>
        </w:rPr>
        <w:t>辽宁省大连市旅顺经济开发区顺乐街</w:t>
      </w:r>
      <w:r>
        <w:rPr>
          <w:color w:val="auto"/>
          <w:sz w:val="24"/>
          <w:szCs w:val="24"/>
          <w:highlight w:val="yellow"/>
        </w:rPr>
        <w:t>33</w:t>
      </w:r>
      <w:r>
        <w:rPr>
          <w:rFonts w:hint="eastAsia"/>
          <w:color w:val="auto"/>
          <w:sz w:val="24"/>
          <w:szCs w:val="24"/>
          <w:highlight w:val="yellow"/>
        </w:rPr>
        <w:t>号辽宁对外经贸学院网络中心。</w:t>
      </w:r>
    </w:p>
    <w:p>
      <w:pPr>
        <w:pStyle w:val="22"/>
        <w:spacing w:before="0" w:beforeAutospacing="0" w:after="0" w:afterAutospacing="0" w:line="360" w:lineRule="auto"/>
        <w:ind w:firstLine="480" w:firstLineChars="200"/>
        <w:rPr>
          <w:rFonts w:cs="Times New Roman"/>
          <w:color w:val="auto"/>
          <w:sz w:val="24"/>
          <w:szCs w:val="24"/>
        </w:rPr>
      </w:pPr>
      <w:r>
        <w:rPr>
          <w:color w:val="auto"/>
          <w:sz w:val="24"/>
          <w:szCs w:val="24"/>
        </w:rPr>
        <w:t>1</w:t>
      </w:r>
      <w:r>
        <w:rPr>
          <w:rFonts w:hint="eastAsia"/>
          <w:color w:val="auto"/>
          <w:sz w:val="24"/>
          <w:szCs w:val="24"/>
        </w:rPr>
        <w:t>4．开标时间：</w:t>
      </w:r>
      <w:r>
        <w:rPr>
          <w:color w:val="auto"/>
          <w:sz w:val="24"/>
          <w:szCs w:val="24"/>
          <w:highlight w:val="yellow"/>
        </w:rPr>
        <w:t>2021</w:t>
      </w:r>
      <w:r>
        <w:rPr>
          <w:rFonts w:hint="eastAsia"/>
          <w:color w:val="auto"/>
          <w:sz w:val="24"/>
          <w:szCs w:val="24"/>
          <w:highlight w:val="yellow"/>
        </w:rPr>
        <w:t>年</w:t>
      </w:r>
      <w:r>
        <w:rPr>
          <w:color w:val="auto"/>
          <w:sz w:val="24"/>
          <w:szCs w:val="24"/>
          <w:highlight w:val="yellow"/>
        </w:rPr>
        <w:t xml:space="preserve"> *</w:t>
      </w:r>
      <w:r>
        <w:rPr>
          <w:rFonts w:hint="eastAsia"/>
          <w:color w:val="auto"/>
          <w:sz w:val="24"/>
          <w:szCs w:val="24"/>
          <w:highlight w:val="yellow"/>
        </w:rPr>
        <w:t>月</w:t>
      </w:r>
      <w:r>
        <w:rPr>
          <w:color w:val="auto"/>
          <w:sz w:val="24"/>
          <w:szCs w:val="24"/>
          <w:highlight w:val="yellow"/>
        </w:rPr>
        <w:t xml:space="preserve">   </w:t>
      </w:r>
      <w:r>
        <w:rPr>
          <w:rFonts w:hint="eastAsia"/>
          <w:color w:val="auto"/>
          <w:sz w:val="24"/>
          <w:szCs w:val="24"/>
          <w:highlight w:val="yellow"/>
        </w:rPr>
        <w:t>日</w:t>
      </w:r>
      <w:r>
        <w:rPr>
          <w:color w:val="auto"/>
          <w:sz w:val="24"/>
          <w:szCs w:val="24"/>
          <w:highlight w:val="yellow"/>
        </w:rPr>
        <w:t xml:space="preserve">  </w:t>
      </w:r>
      <w:r>
        <w:rPr>
          <w:rFonts w:hint="eastAsia"/>
          <w:color w:val="auto"/>
          <w:sz w:val="24"/>
          <w:szCs w:val="24"/>
          <w:highlight w:val="yellow"/>
        </w:rPr>
        <w:t>上午</w:t>
      </w:r>
      <w:r>
        <w:rPr>
          <w:color w:val="auto"/>
          <w:sz w:val="24"/>
          <w:szCs w:val="24"/>
          <w:highlight w:val="yellow"/>
        </w:rPr>
        <w:t xml:space="preserve"> </w:t>
      </w:r>
      <w:r>
        <w:rPr>
          <w:rFonts w:hint="eastAsia"/>
          <w:color w:val="auto"/>
          <w:sz w:val="24"/>
          <w:szCs w:val="24"/>
          <w:highlight w:val="yellow"/>
        </w:rPr>
        <w:t>时（北京时间）</w:t>
      </w:r>
      <w:r>
        <w:rPr>
          <w:rFonts w:hint="eastAsia"/>
          <w:color w:val="auto"/>
          <w:sz w:val="24"/>
          <w:szCs w:val="24"/>
        </w:rPr>
        <w:t>。</w:t>
      </w:r>
    </w:p>
    <w:p>
      <w:pPr>
        <w:pStyle w:val="22"/>
        <w:spacing w:before="0" w:beforeAutospacing="0" w:after="0" w:afterAutospacing="0" w:line="360" w:lineRule="auto"/>
        <w:ind w:firstLine="480" w:firstLineChars="200"/>
        <w:rPr>
          <w:rFonts w:cs="Times New Roman"/>
          <w:color w:val="auto"/>
          <w:sz w:val="24"/>
          <w:szCs w:val="24"/>
        </w:rPr>
      </w:pPr>
      <w:r>
        <w:rPr>
          <w:color w:val="auto"/>
          <w:sz w:val="24"/>
          <w:szCs w:val="24"/>
        </w:rPr>
        <w:t>1</w:t>
      </w:r>
      <w:r>
        <w:rPr>
          <w:rFonts w:hint="eastAsia"/>
          <w:color w:val="auto"/>
          <w:sz w:val="24"/>
          <w:szCs w:val="24"/>
        </w:rPr>
        <w:t>5．请投标方的法定代表人或法定代表人授权的委托代理人届时参加。</w:t>
      </w:r>
    </w:p>
    <w:p>
      <w:pPr>
        <w:spacing w:line="360" w:lineRule="auto"/>
        <w:ind w:firstLine="720" w:firstLineChars="300"/>
        <w:jc w:val="left"/>
        <w:rPr>
          <w:rFonts w:hAnsi="宋体"/>
          <w:sz w:val="24"/>
          <w:szCs w:val="24"/>
        </w:rPr>
      </w:pPr>
      <w:r>
        <w:rPr>
          <w:rFonts w:hint="eastAsia" w:cs="宋体"/>
          <w:sz w:val="24"/>
          <w:szCs w:val="24"/>
        </w:rPr>
        <w:t>招</w:t>
      </w:r>
      <w:r>
        <w:rPr>
          <w:sz w:val="24"/>
          <w:szCs w:val="24"/>
        </w:rPr>
        <w:t xml:space="preserve"> </w:t>
      </w:r>
      <w:r>
        <w:rPr>
          <w:rFonts w:hint="eastAsia" w:cs="宋体"/>
          <w:sz w:val="24"/>
          <w:szCs w:val="24"/>
        </w:rPr>
        <w:t>标</w:t>
      </w:r>
      <w:r>
        <w:rPr>
          <w:sz w:val="24"/>
          <w:szCs w:val="24"/>
        </w:rPr>
        <w:t xml:space="preserve"> </w:t>
      </w:r>
      <w:r>
        <w:rPr>
          <w:rFonts w:hint="eastAsia" w:cs="宋体"/>
          <w:sz w:val="24"/>
          <w:szCs w:val="24"/>
        </w:rPr>
        <w:t>人：辽宁对外经贸学院</w:t>
      </w:r>
    </w:p>
    <w:p>
      <w:pPr>
        <w:spacing w:line="360" w:lineRule="auto"/>
        <w:ind w:left="200" w:firstLine="523" w:firstLineChars="218"/>
        <w:jc w:val="left"/>
        <w:rPr>
          <w:rFonts w:hAnsi="宋体"/>
          <w:sz w:val="24"/>
          <w:szCs w:val="24"/>
        </w:rPr>
      </w:pPr>
      <w:r>
        <w:rPr>
          <w:rFonts w:hint="eastAsia" w:hAnsi="宋体" w:cs="宋体"/>
          <w:sz w:val="24"/>
          <w:szCs w:val="24"/>
        </w:rPr>
        <w:t>联</w:t>
      </w:r>
      <w:r>
        <w:rPr>
          <w:rFonts w:hAnsi="宋体"/>
          <w:sz w:val="24"/>
          <w:szCs w:val="24"/>
        </w:rPr>
        <w:t xml:space="preserve"> </w:t>
      </w:r>
      <w:r>
        <w:rPr>
          <w:rFonts w:hint="eastAsia" w:hAnsi="宋体" w:cs="宋体"/>
          <w:sz w:val="24"/>
          <w:szCs w:val="24"/>
        </w:rPr>
        <w:t>系</w:t>
      </w:r>
      <w:r>
        <w:rPr>
          <w:rFonts w:hAnsi="宋体"/>
          <w:sz w:val="24"/>
          <w:szCs w:val="24"/>
        </w:rPr>
        <w:t xml:space="preserve"> </w:t>
      </w:r>
      <w:r>
        <w:rPr>
          <w:rFonts w:hint="eastAsia" w:hAnsi="宋体" w:cs="宋体"/>
          <w:sz w:val="24"/>
          <w:szCs w:val="24"/>
        </w:rPr>
        <w:t>人：</w:t>
      </w:r>
      <w:r>
        <w:rPr>
          <w:rFonts w:hAnsi="宋体"/>
          <w:sz w:val="24"/>
          <w:szCs w:val="24"/>
        </w:rPr>
        <w:t xml:space="preserve"> </w:t>
      </w:r>
      <w:r>
        <w:rPr>
          <w:rFonts w:hint="eastAsia" w:hAnsi="宋体"/>
          <w:sz w:val="24"/>
          <w:szCs w:val="24"/>
        </w:rPr>
        <w:t>冯老师</w:t>
      </w:r>
    </w:p>
    <w:p>
      <w:pPr>
        <w:pStyle w:val="22"/>
        <w:spacing w:before="0" w:beforeAutospacing="0" w:after="0" w:afterAutospacing="0" w:line="360" w:lineRule="auto"/>
        <w:ind w:firstLine="720" w:firstLineChars="300"/>
        <w:rPr>
          <w:rFonts w:cs="Times New Roman"/>
          <w:color w:val="auto"/>
          <w:sz w:val="24"/>
          <w:szCs w:val="24"/>
        </w:rPr>
      </w:pPr>
      <w:r>
        <w:rPr>
          <w:rFonts w:hint="eastAsia"/>
          <w:color w:val="auto"/>
          <w:sz w:val="24"/>
          <w:szCs w:val="24"/>
        </w:rPr>
        <w:t>电</w:t>
      </w:r>
      <w:r>
        <w:rPr>
          <w:rFonts w:cs="Times New Roman"/>
          <w:color w:val="auto"/>
          <w:sz w:val="24"/>
          <w:szCs w:val="24"/>
        </w:rPr>
        <w:t>  </w:t>
      </w:r>
      <w:r>
        <w:rPr>
          <w:rFonts w:hint="eastAsia"/>
          <w:color w:val="auto"/>
          <w:sz w:val="24"/>
          <w:szCs w:val="24"/>
        </w:rPr>
        <w:t>话：</w:t>
      </w:r>
      <w:r>
        <w:rPr>
          <w:color w:val="auto"/>
          <w:sz w:val="24"/>
          <w:szCs w:val="24"/>
        </w:rPr>
        <w:t xml:space="preserve"> </w:t>
      </w:r>
      <w:r>
        <w:rPr>
          <w:rFonts w:hint="eastAsia"/>
          <w:color w:val="auto"/>
          <w:sz w:val="24"/>
          <w:szCs w:val="24"/>
        </w:rPr>
        <w:t>0411-86208703</w:t>
      </w:r>
    </w:p>
    <w:p>
      <w:pPr>
        <w:pStyle w:val="22"/>
        <w:spacing w:before="0" w:beforeAutospacing="0" w:after="0" w:afterAutospacing="0" w:line="360" w:lineRule="auto"/>
        <w:ind w:firstLine="720" w:firstLineChars="300"/>
        <w:rPr>
          <w:rFonts w:cs="Times New Roman"/>
          <w:color w:val="auto"/>
          <w:sz w:val="24"/>
          <w:szCs w:val="24"/>
        </w:rPr>
      </w:pPr>
      <w:r>
        <w:rPr>
          <w:rFonts w:hint="eastAsia"/>
          <w:color w:val="auto"/>
          <w:sz w:val="24"/>
          <w:szCs w:val="24"/>
        </w:rPr>
        <w:t>传</w:t>
      </w:r>
      <w:r>
        <w:rPr>
          <w:rFonts w:cs="Times New Roman"/>
          <w:color w:val="auto"/>
          <w:sz w:val="24"/>
          <w:szCs w:val="24"/>
        </w:rPr>
        <w:t>  </w:t>
      </w:r>
      <w:r>
        <w:rPr>
          <w:rFonts w:hint="eastAsia"/>
          <w:color w:val="auto"/>
          <w:sz w:val="24"/>
          <w:szCs w:val="24"/>
        </w:rPr>
        <w:t>真：</w:t>
      </w:r>
      <w:r>
        <w:rPr>
          <w:color w:val="auto"/>
          <w:sz w:val="24"/>
          <w:szCs w:val="24"/>
        </w:rPr>
        <w:t xml:space="preserve"> </w:t>
      </w:r>
      <w:r>
        <w:rPr>
          <w:rFonts w:hint="eastAsia"/>
          <w:color w:val="auto"/>
          <w:sz w:val="24"/>
          <w:szCs w:val="24"/>
        </w:rPr>
        <w:t>0411-86209388</w:t>
      </w:r>
    </w:p>
    <w:p>
      <w:pPr>
        <w:pStyle w:val="22"/>
        <w:spacing w:before="0" w:beforeAutospacing="0" w:after="0" w:afterAutospacing="0" w:line="360" w:lineRule="auto"/>
        <w:ind w:left="523" w:leftChars="249" w:firstLine="240" w:firstLineChars="100"/>
        <w:rPr>
          <w:sz w:val="24"/>
          <w:szCs w:val="24"/>
        </w:rPr>
      </w:pPr>
      <w:r>
        <w:rPr>
          <w:rFonts w:hint="eastAsia"/>
          <w:sz w:val="24"/>
          <w:szCs w:val="24"/>
        </w:rPr>
        <w:t>地</w:t>
      </w:r>
      <w:r>
        <w:rPr>
          <w:sz w:val="24"/>
          <w:szCs w:val="24"/>
        </w:rPr>
        <w:t xml:space="preserve">    </w:t>
      </w:r>
      <w:r>
        <w:rPr>
          <w:rFonts w:hint="eastAsia"/>
          <w:sz w:val="24"/>
          <w:szCs w:val="24"/>
        </w:rPr>
        <w:t>址：辽宁省大连市旅顺经济开发区顺乐街</w:t>
      </w:r>
      <w:r>
        <w:rPr>
          <w:sz w:val="24"/>
          <w:szCs w:val="24"/>
        </w:rPr>
        <w:t>33</w:t>
      </w:r>
      <w:r>
        <w:rPr>
          <w:rFonts w:hint="eastAsia"/>
          <w:sz w:val="24"/>
          <w:szCs w:val="24"/>
        </w:rPr>
        <w:t>号辽宁对外经贸学院</w:t>
      </w:r>
    </w:p>
    <w:p>
      <w:pPr>
        <w:pStyle w:val="22"/>
        <w:spacing w:before="0" w:beforeAutospacing="0" w:after="0" w:afterAutospacing="0" w:line="360" w:lineRule="auto"/>
        <w:ind w:left="523" w:leftChars="249" w:firstLine="240" w:firstLineChars="100"/>
        <w:rPr>
          <w:rFonts w:cs="黑体"/>
        </w:rPr>
      </w:pPr>
      <w:r>
        <w:rPr>
          <w:rFonts w:hint="eastAsia"/>
          <w:sz w:val="24"/>
          <w:szCs w:val="24"/>
        </w:rPr>
        <w:t>邮政编码：</w:t>
      </w:r>
      <w:r>
        <w:rPr>
          <w:sz w:val="24"/>
          <w:szCs w:val="24"/>
        </w:rPr>
        <w:t xml:space="preserve"> 116052</w:t>
      </w:r>
      <w:bookmarkStart w:id="1" w:name="_Toc262149563"/>
      <w:bookmarkEnd w:id="1"/>
      <w:bookmarkStart w:id="2" w:name="_Toc386469728"/>
      <w:r>
        <w:rPr>
          <w:rFonts w:hint="eastAsia" w:cs="黑体"/>
        </w:rPr>
        <w:br w:type="page"/>
      </w:r>
    </w:p>
    <w:p>
      <w:pPr>
        <w:pStyle w:val="2"/>
        <w:spacing w:after="120" w:afterLines="50" w:line="360" w:lineRule="auto"/>
        <w:jc w:val="center"/>
        <w:rPr>
          <w:rStyle w:val="47"/>
          <w:rFonts w:eastAsia="宋体" w:cs="Times New Roman"/>
          <w:sz w:val="28"/>
          <w:szCs w:val="28"/>
        </w:rPr>
      </w:pPr>
      <w:bookmarkStart w:id="3" w:name="_Toc9086"/>
      <w:r>
        <w:rPr>
          <w:rFonts w:hint="eastAsia" w:hAnsi="宋体" w:cs="黑体"/>
        </w:rPr>
        <w:t>第二部分</w:t>
      </w:r>
      <w:r>
        <w:rPr>
          <w:rFonts w:hAnsi="宋体"/>
        </w:rPr>
        <w:t xml:space="preserve"> </w:t>
      </w:r>
      <w:r>
        <w:rPr>
          <w:rFonts w:hint="eastAsia" w:hAnsi="宋体" w:cs="黑体"/>
        </w:rPr>
        <w:t>用户需求</w:t>
      </w:r>
      <w:bookmarkEnd w:id="3"/>
    </w:p>
    <w:bookmarkEnd w:id="2"/>
    <w:p>
      <w:pPr>
        <w:pStyle w:val="3"/>
        <w:numPr>
          <w:ilvl w:val="0"/>
          <w:numId w:val="0"/>
        </w:numPr>
        <w:spacing w:line="360" w:lineRule="auto"/>
        <w:jc w:val="left"/>
        <w:rPr>
          <w:rFonts w:ascii="宋体" w:eastAsia="宋体" w:cs="Times New Roman"/>
        </w:rPr>
      </w:pPr>
      <w:r>
        <w:rPr>
          <w:rFonts w:hint="eastAsia" w:ascii="宋体" w:hAnsi="宋体" w:cs="黑体"/>
        </w:rPr>
        <w:t>一、项目背景</w:t>
      </w:r>
    </w:p>
    <w:p>
      <w:pPr>
        <w:widowControl/>
        <w:spacing w:line="360" w:lineRule="auto"/>
        <w:ind w:firstLine="480" w:firstLineChars="200"/>
        <w:rPr>
          <w:rFonts w:ascii="Tahoma" w:hAnsi="Tahoma" w:cs="宋体"/>
          <w:sz w:val="24"/>
          <w:szCs w:val="24"/>
        </w:rPr>
      </w:pPr>
      <w:r>
        <w:rPr>
          <w:rFonts w:hint="eastAsia" w:ascii="Tahoma" w:hAnsi="Tahoma" w:cs="宋体"/>
          <w:sz w:val="24"/>
          <w:szCs w:val="24"/>
        </w:rPr>
        <w:t>我校现有虚拟化平台建设较早，现存在以下问题：</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我</w:t>
      </w:r>
      <w:r>
        <w:rPr>
          <w:rFonts w:hint="eastAsia" w:ascii="宋体" w:hAnsi="宋体" w:cs="仿宋"/>
          <w:kern w:val="0"/>
          <w:sz w:val="24"/>
          <w:szCs w:val="24"/>
          <w:lang w:bidi="ar"/>
        </w:rPr>
        <w:t>校虚拟化建设从2011年12月建设至今，包括4台服务器、2套存储、2台光交换机等硬件（具体情况详见图表），虚拟化软件采用VMware5.0。</w:t>
      </w:r>
      <w:r>
        <w:rPr>
          <w:rFonts w:hint="eastAsia" w:ascii="Tahoma" w:hAnsi="Tahoma" w:cs="宋体"/>
          <w:sz w:val="24"/>
          <w:szCs w:val="24"/>
        </w:rPr>
        <w:t>主要设备（存储、交换机、服务器）已经过保修期。内存和存储剩余已无法满足学习实际业务的需求，部件发生故障概率高，部分部件维修购买困难，存储自身发生异常灾难</w:t>
      </w:r>
      <w:r>
        <w:rPr>
          <w:rFonts w:hint="eastAsia" w:ascii="宋体" w:hAnsi="宋体" w:cs="宋体"/>
          <w:sz w:val="24"/>
          <w:szCs w:val="24"/>
        </w:rPr>
        <w:t>时数据风险大。</w:t>
      </w:r>
      <w:r>
        <w:rPr>
          <w:rFonts w:hint="eastAsia" w:ascii="Tahoma" w:hAnsi="Tahoma" w:cs="宋体"/>
          <w:sz w:val="24"/>
          <w:szCs w:val="24"/>
        </w:rPr>
        <w:t>因此，亟需对虚拟化平台进行重新建设。</w:t>
      </w:r>
    </w:p>
    <w:p>
      <w:pPr>
        <w:widowControl/>
        <w:spacing w:line="360" w:lineRule="auto"/>
        <w:ind w:firstLine="420" w:firstLineChars="200"/>
        <w:jc w:val="center"/>
        <w:rPr>
          <w:rFonts w:ascii="宋体" w:hAnsi="宋体" w:cs="宋体"/>
          <w:sz w:val="24"/>
          <w:szCs w:val="24"/>
        </w:rPr>
      </w:pPr>
      <w:r>
        <w:drawing>
          <wp:inline distT="0" distB="0" distL="114300" distR="114300">
            <wp:extent cx="3093720" cy="2720340"/>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3093720" cy="2720340"/>
                    </a:xfrm>
                    <a:prstGeom prst="rect">
                      <a:avLst/>
                    </a:prstGeom>
                    <a:noFill/>
                    <a:ln>
                      <a:noFill/>
                    </a:ln>
                  </pic:spPr>
                </pic:pic>
              </a:graphicData>
            </a:graphic>
          </wp:inline>
        </w:drawing>
      </w:r>
    </w:p>
    <w:tbl>
      <w:tblPr>
        <w:tblStyle w:val="24"/>
        <w:tblW w:w="8319" w:type="dxa"/>
        <w:tblInd w:w="0" w:type="dxa"/>
        <w:tblLayout w:type="fixed"/>
        <w:tblCellMar>
          <w:top w:w="0" w:type="dxa"/>
          <w:left w:w="0" w:type="dxa"/>
          <w:bottom w:w="0" w:type="dxa"/>
          <w:right w:w="0" w:type="dxa"/>
        </w:tblCellMar>
      </w:tblPr>
      <w:tblGrid>
        <w:gridCol w:w="563"/>
        <w:gridCol w:w="1767"/>
        <w:gridCol w:w="2160"/>
        <w:gridCol w:w="731"/>
        <w:gridCol w:w="1573"/>
        <w:gridCol w:w="1525"/>
      </w:tblGrid>
      <w:tr>
        <w:tblPrEx>
          <w:tblCellMar>
            <w:top w:w="0" w:type="dxa"/>
            <w:left w:w="0" w:type="dxa"/>
            <w:bottom w:w="0" w:type="dxa"/>
            <w:right w:w="0" w:type="dxa"/>
          </w:tblCellMar>
        </w:tblPrEx>
        <w:trPr>
          <w:trHeight w:val="768" w:hRule="atLeast"/>
        </w:trPr>
        <w:tc>
          <w:tcPr>
            <w:tcW w:w="56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序号</w:t>
            </w:r>
          </w:p>
        </w:tc>
        <w:tc>
          <w:tcPr>
            <w:tcW w:w="1767" w:type="dxa"/>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设备品牌及型号</w:t>
            </w:r>
          </w:p>
        </w:tc>
        <w:tc>
          <w:tcPr>
            <w:tcW w:w="2160" w:type="dxa"/>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配置参数</w:t>
            </w:r>
          </w:p>
        </w:tc>
        <w:tc>
          <w:tcPr>
            <w:tcW w:w="731" w:type="dxa"/>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数量</w:t>
            </w:r>
          </w:p>
        </w:tc>
        <w:tc>
          <w:tcPr>
            <w:tcW w:w="1573" w:type="dxa"/>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购买时间</w:t>
            </w:r>
          </w:p>
        </w:tc>
        <w:tc>
          <w:tcPr>
            <w:tcW w:w="1525" w:type="dxa"/>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备注</w:t>
            </w:r>
          </w:p>
        </w:tc>
      </w:tr>
      <w:tr>
        <w:tblPrEx>
          <w:tblCellMar>
            <w:top w:w="0" w:type="dxa"/>
            <w:left w:w="0" w:type="dxa"/>
            <w:bottom w:w="0" w:type="dxa"/>
            <w:right w:w="0" w:type="dxa"/>
          </w:tblCellMar>
        </w:tblPrEx>
        <w:trPr>
          <w:trHeight w:val="935" w:hRule="atLeast"/>
        </w:trPr>
        <w:tc>
          <w:tcPr>
            <w:tcW w:w="563"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tcPr>
          <w:p>
            <w:pPr>
              <w:widowControl/>
              <w:jc w:val="center"/>
              <w:textAlignment w:val="top"/>
              <w:rPr>
                <w:rFonts w:ascii="宋体" w:hAnsi="宋体" w:cs="宋体"/>
                <w:color w:val="000000"/>
                <w:sz w:val="24"/>
                <w:szCs w:val="24"/>
              </w:rPr>
            </w:pPr>
            <w:r>
              <w:rPr>
                <w:rFonts w:hint="eastAsia" w:ascii="宋体" w:hAnsi="宋体" w:cs="宋体"/>
                <w:color w:val="000000"/>
                <w:kern w:val="0"/>
                <w:sz w:val="24"/>
                <w:szCs w:val="24"/>
                <w:lang w:bidi="ar"/>
              </w:rPr>
              <w:t>1</w:t>
            </w:r>
          </w:p>
        </w:tc>
        <w:tc>
          <w:tcPr>
            <w:tcW w:w="1767" w:type="dxa"/>
            <w:tcBorders>
              <w:top w:val="nil"/>
              <w:left w:val="nil"/>
              <w:bottom w:val="single" w:color="000000" w:sz="8" w:space="0"/>
              <w:right w:val="single" w:color="000000" w:sz="8" w:space="0"/>
            </w:tcBorders>
            <w:shd w:val="clear" w:color="auto" w:fill="auto"/>
            <w:tcMar>
              <w:top w:w="12" w:type="dxa"/>
              <w:left w:w="12" w:type="dxa"/>
              <w:right w:w="12" w:type="dxa"/>
            </w:tcMar>
          </w:tcPr>
          <w:p>
            <w:pPr>
              <w:widowControl/>
              <w:jc w:val="center"/>
              <w:textAlignment w:val="top"/>
              <w:rPr>
                <w:rFonts w:ascii="宋体" w:hAnsi="宋体" w:cs="宋体"/>
                <w:color w:val="000000"/>
                <w:sz w:val="24"/>
                <w:szCs w:val="24"/>
              </w:rPr>
            </w:pPr>
            <w:r>
              <w:rPr>
                <w:rFonts w:hint="eastAsia" w:ascii="宋体" w:hAnsi="宋体" w:cs="宋体"/>
                <w:color w:val="000000"/>
                <w:kern w:val="0"/>
                <w:sz w:val="24"/>
                <w:szCs w:val="24"/>
                <w:lang w:bidi="ar"/>
              </w:rPr>
              <w:t>虚拟化服务器：HP DL580 G7</w:t>
            </w:r>
          </w:p>
        </w:tc>
        <w:tc>
          <w:tcPr>
            <w:tcW w:w="2160" w:type="dxa"/>
            <w:tcBorders>
              <w:top w:val="nil"/>
              <w:left w:val="nil"/>
              <w:bottom w:val="single" w:color="000000" w:sz="8" w:space="0"/>
              <w:right w:val="single" w:color="000000" w:sz="8" w:space="0"/>
            </w:tcBorders>
            <w:shd w:val="clear" w:color="auto" w:fill="auto"/>
            <w:tcMar>
              <w:top w:w="12" w:type="dxa"/>
              <w:left w:w="12" w:type="dxa"/>
              <w:right w:w="12" w:type="dxa"/>
            </w:tcMar>
          </w:tcPr>
          <w:p>
            <w:pPr>
              <w:widowControl/>
              <w:jc w:val="left"/>
              <w:textAlignment w:val="top"/>
              <w:rPr>
                <w:rFonts w:ascii="宋体" w:hAnsi="宋体" w:cs="宋体"/>
                <w:color w:val="000000"/>
                <w:sz w:val="24"/>
                <w:szCs w:val="24"/>
              </w:rPr>
            </w:pPr>
            <w:r>
              <w:rPr>
                <w:rFonts w:hint="eastAsia" w:ascii="宋体" w:hAnsi="宋体" w:cs="宋体"/>
                <w:color w:val="000000"/>
                <w:kern w:val="0"/>
                <w:sz w:val="24"/>
                <w:szCs w:val="24"/>
                <w:lang w:bidi="ar"/>
              </w:rPr>
              <w:t>CPU：4路*6核1.86GHz（超线程）；内存128G</w:t>
            </w:r>
          </w:p>
        </w:tc>
        <w:tc>
          <w:tcPr>
            <w:tcW w:w="731" w:type="dxa"/>
            <w:tcBorders>
              <w:top w:val="nil"/>
              <w:left w:val="nil"/>
              <w:bottom w:val="single" w:color="000000" w:sz="8" w:space="0"/>
              <w:right w:val="single" w:color="000000" w:sz="8" w:space="0"/>
            </w:tcBorders>
            <w:shd w:val="clear" w:color="auto" w:fill="auto"/>
            <w:tcMar>
              <w:top w:w="12" w:type="dxa"/>
              <w:left w:w="12" w:type="dxa"/>
              <w:right w:w="12" w:type="dxa"/>
            </w:tcMar>
          </w:tcPr>
          <w:p>
            <w:pPr>
              <w:widowControl/>
              <w:jc w:val="center"/>
              <w:textAlignment w:val="top"/>
              <w:rPr>
                <w:rFonts w:ascii="宋体" w:hAnsi="宋体" w:cs="宋体"/>
                <w:color w:val="000000"/>
                <w:sz w:val="24"/>
                <w:szCs w:val="24"/>
              </w:rPr>
            </w:pPr>
            <w:r>
              <w:rPr>
                <w:rFonts w:hint="eastAsia" w:ascii="宋体" w:hAnsi="宋体" w:cs="宋体"/>
                <w:color w:val="000000"/>
                <w:kern w:val="0"/>
                <w:sz w:val="24"/>
                <w:szCs w:val="24"/>
                <w:lang w:bidi="ar"/>
              </w:rPr>
              <w:t>3台</w:t>
            </w:r>
          </w:p>
        </w:tc>
        <w:tc>
          <w:tcPr>
            <w:tcW w:w="1573" w:type="dxa"/>
            <w:tcBorders>
              <w:top w:val="nil"/>
              <w:left w:val="nil"/>
              <w:bottom w:val="single" w:color="000000" w:sz="8" w:space="0"/>
              <w:right w:val="single" w:color="000000" w:sz="8" w:space="0"/>
            </w:tcBorders>
            <w:shd w:val="clear" w:color="auto" w:fill="auto"/>
            <w:tcMar>
              <w:top w:w="12" w:type="dxa"/>
              <w:left w:w="12" w:type="dxa"/>
              <w:right w:w="12" w:type="dxa"/>
            </w:tcMar>
          </w:tcPr>
          <w:p>
            <w:pPr>
              <w:widowControl/>
              <w:jc w:val="center"/>
              <w:textAlignment w:val="top"/>
              <w:rPr>
                <w:rFonts w:ascii="宋体" w:hAnsi="宋体" w:cs="宋体"/>
                <w:color w:val="000000"/>
                <w:sz w:val="24"/>
                <w:szCs w:val="24"/>
              </w:rPr>
            </w:pPr>
            <w:r>
              <w:rPr>
                <w:rFonts w:hint="eastAsia" w:ascii="宋体" w:hAnsi="宋体" w:cs="宋体"/>
                <w:color w:val="000000"/>
                <w:kern w:val="0"/>
                <w:sz w:val="24"/>
                <w:szCs w:val="24"/>
                <w:lang w:bidi="ar"/>
              </w:rPr>
              <w:t>2012年12月</w:t>
            </w:r>
          </w:p>
        </w:tc>
        <w:tc>
          <w:tcPr>
            <w:tcW w:w="1525" w:type="dxa"/>
            <w:vMerge w:val="restart"/>
            <w:tcBorders>
              <w:top w:val="nil"/>
              <w:left w:val="nil"/>
              <w:bottom w:val="single" w:color="000000" w:sz="8" w:space="0"/>
              <w:right w:val="single" w:color="000000" w:sz="8" w:space="0"/>
            </w:tcBorders>
            <w:shd w:val="clear" w:color="auto" w:fill="auto"/>
            <w:tcMar>
              <w:top w:w="12" w:type="dxa"/>
              <w:left w:w="12" w:type="dxa"/>
              <w:right w:w="12" w:type="dxa"/>
            </w:tcMar>
          </w:tcPr>
          <w:p>
            <w:pPr>
              <w:widowControl/>
              <w:jc w:val="left"/>
              <w:textAlignment w:val="top"/>
              <w:rPr>
                <w:rFonts w:ascii="宋体" w:hAnsi="宋体" w:cs="宋体"/>
                <w:color w:val="000000"/>
                <w:sz w:val="24"/>
                <w:szCs w:val="24"/>
              </w:rPr>
            </w:pPr>
            <w:r>
              <w:rPr>
                <w:rFonts w:hint="eastAsia" w:ascii="宋体" w:hAnsi="宋体" w:cs="宋体"/>
                <w:color w:val="000000"/>
                <w:kern w:val="0"/>
                <w:sz w:val="24"/>
                <w:szCs w:val="24"/>
                <w:lang w:bidi="ar"/>
              </w:rPr>
              <w:t>CPU：88核；内存：400G；剩余：165G</w:t>
            </w:r>
          </w:p>
        </w:tc>
      </w:tr>
      <w:tr>
        <w:tblPrEx>
          <w:tblCellMar>
            <w:top w:w="0" w:type="dxa"/>
            <w:left w:w="0" w:type="dxa"/>
            <w:bottom w:w="0" w:type="dxa"/>
            <w:right w:w="0" w:type="dxa"/>
          </w:tblCellMar>
        </w:tblPrEx>
        <w:trPr>
          <w:trHeight w:val="651" w:hRule="atLeast"/>
        </w:trPr>
        <w:tc>
          <w:tcPr>
            <w:tcW w:w="563"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tcPr>
          <w:p>
            <w:pPr>
              <w:widowControl/>
              <w:jc w:val="center"/>
              <w:textAlignment w:val="top"/>
              <w:rPr>
                <w:rFonts w:ascii="宋体" w:hAnsi="宋体" w:cs="宋体"/>
                <w:color w:val="000000"/>
                <w:sz w:val="24"/>
                <w:szCs w:val="24"/>
              </w:rPr>
            </w:pPr>
            <w:r>
              <w:rPr>
                <w:rFonts w:hint="eastAsia" w:ascii="宋体" w:hAnsi="宋体" w:cs="宋体"/>
                <w:color w:val="000000"/>
                <w:kern w:val="0"/>
                <w:sz w:val="24"/>
                <w:szCs w:val="24"/>
                <w:lang w:bidi="ar"/>
              </w:rPr>
              <w:t>2</w:t>
            </w:r>
          </w:p>
        </w:tc>
        <w:tc>
          <w:tcPr>
            <w:tcW w:w="1767" w:type="dxa"/>
            <w:tcBorders>
              <w:top w:val="nil"/>
              <w:left w:val="nil"/>
              <w:bottom w:val="single" w:color="000000" w:sz="8" w:space="0"/>
              <w:right w:val="single" w:color="000000" w:sz="8" w:space="0"/>
            </w:tcBorders>
            <w:shd w:val="clear" w:color="auto" w:fill="auto"/>
            <w:tcMar>
              <w:top w:w="12" w:type="dxa"/>
              <w:left w:w="12" w:type="dxa"/>
              <w:right w:w="12" w:type="dxa"/>
            </w:tcMar>
          </w:tcPr>
          <w:p>
            <w:pPr>
              <w:widowControl/>
              <w:jc w:val="center"/>
              <w:textAlignment w:val="top"/>
              <w:rPr>
                <w:rFonts w:ascii="宋体" w:hAnsi="宋体" w:cs="宋体"/>
                <w:color w:val="000000"/>
                <w:sz w:val="24"/>
                <w:szCs w:val="24"/>
              </w:rPr>
            </w:pPr>
            <w:r>
              <w:rPr>
                <w:rFonts w:hint="eastAsia" w:ascii="宋体" w:hAnsi="宋体" w:cs="宋体"/>
                <w:color w:val="000000"/>
                <w:kern w:val="0"/>
                <w:sz w:val="24"/>
                <w:szCs w:val="24"/>
                <w:lang w:bidi="ar"/>
              </w:rPr>
              <w:t>虚拟化服务器：IBM 3850</w:t>
            </w:r>
          </w:p>
        </w:tc>
        <w:tc>
          <w:tcPr>
            <w:tcW w:w="2160" w:type="dxa"/>
            <w:tcBorders>
              <w:top w:val="nil"/>
              <w:left w:val="nil"/>
              <w:bottom w:val="single" w:color="000000" w:sz="8" w:space="0"/>
              <w:right w:val="single" w:color="000000" w:sz="8" w:space="0"/>
            </w:tcBorders>
            <w:shd w:val="clear" w:color="auto" w:fill="auto"/>
            <w:tcMar>
              <w:top w:w="12" w:type="dxa"/>
              <w:left w:w="12" w:type="dxa"/>
              <w:right w:w="12" w:type="dxa"/>
            </w:tcMar>
          </w:tcPr>
          <w:p>
            <w:pPr>
              <w:widowControl/>
              <w:jc w:val="left"/>
              <w:textAlignment w:val="top"/>
              <w:rPr>
                <w:rFonts w:ascii="宋体" w:hAnsi="宋体" w:cs="宋体"/>
                <w:color w:val="000000"/>
                <w:sz w:val="24"/>
                <w:szCs w:val="24"/>
              </w:rPr>
            </w:pPr>
            <w:r>
              <w:rPr>
                <w:rFonts w:hint="eastAsia" w:ascii="宋体" w:hAnsi="宋体" w:cs="宋体"/>
                <w:color w:val="000000"/>
                <w:kern w:val="0"/>
                <w:sz w:val="24"/>
                <w:szCs w:val="24"/>
                <w:lang w:bidi="ar"/>
              </w:rPr>
              <w:t>CPU：2路*8核2.1GHz；内存16G</w:t>
            </w:r>
          </w:p>
        </w:tc>
        <w:tc>
          <w:tcPr>
            <w:tcW w:w="731" w:type="dxa"/>
            <w:tcBorders>
              <w:top w:val="nil"/>
              <w:left w:val="nil"/>
              <w:bottom w:val="single" w:color="000000" w:sz="8" w:space="0"/>
              <w:right w:val="single" w:color="000000" w:sz="8" w:space="0"/>
            </w:tcBorders>
            <w:shd w:val="clear" w:color="auto" w:fill="auto"/>
            <w:tcMar>
              <w:top w:w="12" w:type="dxa"/>
              <w:left w:w="12" w:type="dxa"/>
              <w:right w:w="12" w:type="dxa"/>
            </w:tcMar>
          </w:tcPr>
          <w:p>
            <w:pPr>
              <w:widowControl/>
              <w:jc w:val="center"/>
              <w:textAlignment w:val="top"/>
              <w:rPr>
                <w:rFonts w:ascii="宋体" w:hAnsi="宋体" w:cs="宋体"/>
                <w:color w:val="000000"/>
                <w:sz w:val="24"/>
                <w:szCs w:val="24"/>
              </w:rPr>
            </w:pPr>
            <w:r>
              <w:rPr>
                <w:rFonts w:hint="eastAsia" w:ascii="宋体" w:hAnsi="宋体" w:cs="宋体"/>
                <w:color w:val="000000"/>
                <w:kern w:val="0"/>
                <w:sz w:val="24"/>
                <w:szCs w:val="24"/>
                <w:lang w:bidi="ar"/>
              </w:rPr>
              <w:t>1台</w:t>
            </w:r>
          </w:p>
        </w:tc>
        <w:tc>
          <w:tcPr>
            <w:tcW w:w="1573" w:type="dxa"/>
            <w:tcBorders>
              <w:top w:val="nil"/>
              <w:left w:val="nil"/>
              <w:bottom w:val="single" w:color="000000" w:sz="8" w:space="0"/>
              <w:right w:val="single" w:color="000000" w:sz="8" w:space="0"/>
            </w:tcBorders>
            <w:shd w:val="clear" w:color="auto" w:fill="auto"/>
            <w:tcMar>
              <w:top w:w="12" w:type="dxa"/>
              <w:left w:w="12" w:type="dxa"/>
              <w:right w:w="12" w:type="dxa"/>
            </w:tcMar>
          </w:tcPr>
          <w:p>
            <w:pPr>
              <w:widowControl/>
              <w:jc w:val="center"/>
              <w:textAlignment w:val="top"/>
              <w:rPr>
                <w:rFonts w:ascii="宋体" w:hAnsi="宋体" w:cs="宋体"/>
                <w:color w:val="000000"/>
                <w:sz w:val="24"/>
                <w:szCs w:val="24"/>
              </w:rPr>
            </w:pPr>
            <w:r>
              <w:rPr>
                <w:rFonts w:hint="eastAsia" w:ascii="宋体" w:hAnsi="宋体" w:cs="宋体"/>
                <w:color w:val="000000"/>
                <w:kern w:val="0"/>
                <w:sz w:val="24"/>
                <w:szCs w:val="24"/>
                <w:lang w:bidi="ar"/>
              </w:rPr>
              <w:t>2011年12月</w:t>
            </w:r>
          </w:p>
        </w:tc>
        <w:tc>
          <w:tcPr>
            <w:tcW w:w="1525"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tcPr>
          <w:p>
            <w:pPr>
              <w:jc w:val="left"/>
              <w:rPr>
                <w:rFonts w:ascii="宋体" w:hAnsi="宋体" w:cs="宋体"/>
                <w:color w:val="000000"/>
                <w:sz w:val="24"/>
                <w:szCs w:val="24"/>
              </w:rPr>
            </w:pPr>
          </w:p>
        </w:tc>
      </w:tr>
      <w:tr>
        <w:tblPrEx>
          <w:tblCellMar>
            <w:top w:w="0" w:type="dxa"/>
            <w:left w:w="0" w:type="dxa"/>
            <w:bottom w:w="0" w:type="dxa"/>
            <w:right w:w="0" w:type="dxa"/>
          </w:tblCellMar>
        </w:tblPrEx>
        <w:trPr>
          <w:trHeight w:val="651" w:hRule="atLeast"/>
        </w:trPr>
        <w:tc>
          <w:tcPr>
            <w:tcW w:w="563"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tcPr>
          <w:p>
            <w:pPr>
              <w:widowControl/>
              <w:jc w:val="center"/>
              <w:textAlignment w:val="top"/>
              <w:rPr>
                <w:rFonts w:ascii="宋体" w:hAnsi="宋体" w:cs="宋体"/>
                <w:color w:val="000000"/>
                <w:sz w:val="24"/>
                <w:szCs w:val="24"/>
              </w:rPr>
            </w:pPr>
            <w:r>
              <w:rPr>
                <w:rFonts w:hint="eastAsia" w:ascii="宋体" w:hAnsi="宋体" w:cs="宋体"/>
                <w:color w:val="000000"/>
                <w:kern w:val="0"/>
                <w:sz w:val="24"/>
                <w:szCs w:val="24"/>
                <w:lang w:bidi="ar"/>
              </w:rPr>
              <w:t>3</w:t>
            </w:r>
          </w:p>
        </w:tc>
        <w:tc>
          <w:tcPr>
            <w:tcW w:w="1767" w:type="dxa"/>
            <w:tcBorders>
              <w:top w:val="nil"/>
              <w:left w:val="nil"/>
              <w:bottom w:val="single" w:color="000000" w:sz="8" w:space="0"/>
              <w:right w:val="single" w:color="000000" w:sz="8" w:space="0"/>
            </w:tcBorders>
            <w:shd w:val="clear" w:color="auto" w:fill="auto"/>
            <w:tcMar>
              <w:top w:w="12" w:type="dxa"/>
              <w:left w:w="12" w:type="dxa"/>
              <w:right w:w="12" w:type="dxa"/>
            </w:tcMar>
          </w:tcPr>
          <w:p>
            <w:pPr>
              <w:widowControl/>
              <w:jc w:val="center"/>
              <w:textAlignment w:val="top"/>
              <w:rPr>
                <w:rFonts w:ascii="宋体" w:hAnsi="宋体" w:cs="宋体"/>
                <w:color w:val="000000"/>
                <w:sz w:val="24"/>
                <w:szCs w:val="24"/>
              </w:rPr>
            </w:pPr>
            <w:r>
              <w:rPr>
                <w:rFonts w:hint="eastAsia" w:ascii="宋体" w:hAnsi="宋体" w:cs="宋体"/>
                <w:color w:val="000000"/>
                <w:kern w:val="0"/>
                <w:sz w:val="24"/>
                <w:szCs w:val="24"/>
                <w:lang w:bidi="ar"/>
              </w:rPr>
              <w:t>存储：HP P6350</w:t>
            </w:r>
          </w:p>
        </w:tc>
        <w:tc>
          <w:tcPr>
            <w:tcW w:w="2160" w:type="dxa"/>
            <w:tcBorders>
              <w:top w:val="nil"/>
              <w:left w:val="nil"/>
              <w:bottom w:val="single" w:color="000000" w:sz="8" w:space="0"/>
              <w:right w:val="single" w:color="000000" w:sz="8" w:space="0"/>
            </w:tcBorders>
            <w:shd w:val="clear" w:color="auto" w:fill="auto"/>
            <w:tcMar>
              <w:top w:w="12" w:type="dxa"/>
              <w:left w:w="12" w:type="dxa"/>
              <w:right w:w="12" w:type="dxa"/>
            </w:tcMar>
          </w:tcPr>
          <w:p>
            <w:pPr>
              <w:widowControl/>
              <w:jc w:val="left"/>
              <w:textAlignment w:val="top"/>
              <w:rPr>
                <w:rFonts w:ascii="宋体" w:hAnsi="宋体" w:cs="宋体"/>
                <w:color w:val="000000"/>
                <w:sz w:val="24"/>
                <w:szCs w:val="24"/>
              </w:rPr>
            </w:pPr>
            <w:r>
              <w:rPr>
                <w:rFonts w:hint="eastAsia" w:ascii="宋体" w:hAnsi="宋体" w:cs="宋体"/>
                <w:color w:val="000000"/>
                <w:kern w:val="0"/>
                <w:sz w:val="24"/>
                <w:szCs w:val="24"/>
                <w:lang w:bidi="ar"/>
              </w:rPr>
              <w:t>7.2T1000rpm;48T7200rpm</w:t>
            </w:r>
          </w:p>
        </w:tc>
        <w:tc>
          <w:tcPr>
            <w:tcW w:w="731" w:type="dxa"/>
            <w:tcBorders>
              <w:top w:val="nil"/>
              <w:left w:val="nil"/>
              <w:bottom w:val="single" w:color="000000" w:sz="8" w:space="0"/>
              <w:right w:val="single" w:color="000000" w:sz="8" w:space="0"/>
            </w:tcBorders>
            <w:shd w:val="clear" w:color="auto" w:fill="auto"/>
            <w:tcMar>
              <w:top w:w="12" w:type="dxa"/>
              <w:left w:w="12" w:type="dxa"/>
              <w:right w:w="12" w:type="dxa"/>
            </w:tcMar>
          </w:tcPr>
          <w:p>
            <w:pPr>
              <w:widowControl/>
              <w:jc w:val="center"/>
              <w:textAlignment w:val="top"/>
              <w:rPr>
                <w:rFonts w:ascii="宋体" w:hAnsi="宋体" w:cs="宋体"/>
                <w:color w:val="000000"/>
                <w:sz w:val="24"/>
                <w:szCs w:val="24"/>
              </w:rPr>
            </w:pPr>
            <w:r>
              <w:rPr>
                <w:rFonts w:hint="eastAsia" w:ascii="宋体" w:hAnsi="宋体" w:cs="宋体"/>
                <w:color w:val="000000"/>
                <w:kern w:val="0"/>
                <w:sz w:val="24"/>
                <w:szCs w:val="24"/>
                <w:lang w:bidi="ar"/>
              </w:rPr>
              <w:t>1台</w:t>
            </w:r>
          </w:p>
        </w:tc>
        <w:tc>
          <w:tcPr>
            <w:tcW w:w="1573" w:type="dxa"/>
            <w:tcBorders>
              <w:top w:val="nil"/>
              <w:left w:val="nil"/>
              <w:bottom w:val="single" w:color="000000" w:sz="8" w:space="0"/>
              <w:right w:val="single" w:color="000000" w:sz="8" w:space="0"/>
            </w:tcBorders>
            <w:shd w:val="clear" w:color="auto" w:fill="auto"/>
            <w:tcMar>
              <w:top w:w="12" w:type="dxa"/>
              <w:left w:w="12" w:type="dxa"/>
              <w:right w:w="12" w:type="dxa"/>
            </w:tcMar>
          </w:tcPr>
          <w:p>
            <w:pPr>
              <w:widowControl/>
              <w:jc w:val="center"/>
              <w:textAlignment w:val="top"/>
              <w:rPr>
                <w:rFonts w:ascii="宋体" w:hAnsi="宋体" w:cs="宋体"/>
                <w:color w:val="000000"/>
                <w:sz w:val="24"/>
                <w:szCs w:val="24"/>
              </w:rPr>
            </w:pPr>
            <w:r>
              <w:rPr>
                <w:rFonts w:hint="eastAsia" w:ascii="宋体" w:hAnsi="宋体" w:cs="宋体"/>
                <w:color w:val="000000"/>
                <w:kern w:val="0"/>
                <w:sz w:val="24"/>
                <w:szCs w:val="24"/>
                <w:lang w:bidi="ar"/>
              </w:rPr>
              <w:t>2012年12月</w:t>
            </w:r>
          </w:p>
        </w:tc>
        <w:tc>
          <w:tcPr>
            <w:tcW w:w="1525" w:type="dxa"/>
            <w:tcBorders>
              <w:top w:val="nil"/>
              <w:left w:val="nil"/>
              <w:bottom w:val="single" w:color="000000" w:sz="8" w:space="0"/>
              <w:right w:val="single" w:color="000000" w:sz="8" w:space="0"/>
            </w:tcBorders>
            <w:shd w:val="clear" w:color="auto" w:fill="auto"/>
            <w:tcMar>
              <w:top w:w="12" w:type="dxa"/>
              <w:left w:w="12" w:type="dxa"/>
              <w:right w:w="12" w:type="dxa"/>
            </w:tcMar>
          </w:tcPr>
          <w:p>
            <w:pPr>
              <w:widowControl/>
              <w:jc w:val="left"/>
              <w:textAlignment w:val="top"/>
              <w:rPr>
                <w:rFonts w:ascii="宋体" w:hAnsi="宋体" w:cs="宋体"/>
                <w:color w:val="000000"/>
                <w:sz w:val="24"/>
                <w:szCs w:val="24"/>
              </w:rPr>
            </w:pPr>
            <w:r>
              <w:rPr>
                <w:rFonts w:hint="eastAsia" w:ascii="宋体" w:hAnsi="宋体" w:cs="宋体"/>
                <w:color w:val="000000"/>
                <w:kern w:val="0"/>
                <w:sz w:val="24"/>
                <w:szCs w:val="24"/>
                <w:lang w:bidi="ar"/>
              </w:rPr>
              <w:t>有效容量：27T；剩余：4.3T</w:t>
            </w:r>
          </w:p>
        </w:tc>
      </w:tr>
      <w:tr>
        <w:tblPrEx>
          <w:tblCellMar>
            <w:top w:w="0" w:type="dxa"/>
            <w:left w:w="0" w:type="dxa"/>
            <w:bottom w:w="0" w:type="dxa"/>
            <w:right w:w="0" w:type="dxa"/>
          </w:tblCellMar>
        </w:tblPrEx>
        <w:trPr>
          <w:trHeight w:val="748" w:hRule="atLeast"/>
        </w:trPr>
        <w:tc>
          <w:tcPr>
            <w:tcW w:w="563"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tcPr>
          <w:p>
            <w:pPr>
              <w:widowControl/>
              <w:jc w:val="center"/>
              <w:textAlignment w:val="top"/>
              <w:rPr>
                <w:rFonts w:ascii="宋体" w:hAnsi="宋体" w:cs="宋体"/>
                <w:color w:val="000000"/>
                <w:sz w:val="24"/>
                <w:szCs w:val="24"/>
              </w:rPr>
            </w:pPr>
            <w:r>
              <w:rPr>
                <w:rFonts w:hint="eastAsia" w:ascii="宋体" w:hAnsi="宋体" w:cs="宋体"/>
                <w:color w:val="000000"/>
                <w:kern w:val="0"/>
                <w:sz w:val="24"/>
                <w:szCs w:val="24"/>
                <w:lang w:bidi="ar"/>
              </w:rPr>
              <w:t>4</w:t>
            </w:r>
          </w:p>
        </w:tc>
        <w:tc>
          <w:tcPr>
            <w:tcW w:w="1767" w:type="dxa"/>
            <w:tcBorders>
              <w:top w:val="nil"/>
              <w:left w:val="nil"/>
              <w:bottom w:val="single" w:color="000000" w:sz="8" w:space="0"/>
              <w:right w:val="single" w:color="000000" w:sz="8" w:space="0"/>
            </w:tcBorders>
            <w:shd w:val="clear" w:color="auto" w:fill="auto"/>
            <w:tcMar>
              <w:top w:w="12" w:type="dxa"/>
              <w:left w:w="12" w:type="dxa"/>
              <w:right w:w="12" w:type="dxa"/>
            </w:tcMar>
          </w:tcPr>
          <w:p>
            <w:pPr>
              <w:widowControl/>
              <w:jc w:val="center"/>
              <w:textAlignment w:val="top"/>
              <w:rPr>
                <w:rFonts w:ascii="宋体" w:hAnsi="宋体" w:cs="宋体"/>
                <w:color w:val="000000"/>
                <w:sz w:val="24"/>
                <w:szCs w:val="24"/>
              </w:rPr>
            </w:pPr>
            <w:r>
              <w:rPr>
                <w:rFonts w:hint="eastAsia" w:ascii="宋体" w:hAnsi="宋体" w:cs="宋体"/>
                <w:color w:val="000000"/>
                <w:kern w:val="0"/>
                <w:sz w:val="24"/>
                <w:szCs w:val="24"/>
                <w:lang w:bidi="ar"/>
              </w:rPr>
              <w:t>存储：HP P2000</w:t>
            </w:r>
          </w:p>
        </w:tc>
        <w:tc>
          <w:tcPr>
            <w:tcW w:w="2160" w:type="dxa"/>
            <w:tcBorders>
              <w:top w:val="nil"/>
              <w:left w:val="nil"/>
              <w:bottom w:val="single" w:color="000000" w:sz="8" w:space="0"/>
              <w:right w:val="single" w:color="000000" w:sz="8" w:space="0"/>
            </w:tcBorders>
            <w:shd w:val="clear" w:color="auto" w:fill="auto"/>
            <w:tcMar>
              <w:top w:w="12" w:type="dxa"/>
              <w:left w:w="12" w:type="dxa"/>
              <w:right w:w="12" w:type="dxa"/>
            </w:tcMar>
          </w:tcPr>
          <w:p>
            <w:pPr>
              <w:widowControl/>
              <w:jc w:val="left"/>
              <w:textAlignment w:val="top"/>
              <w:rPr>
                <w:rFonts w:ascii="宋体" w:hAnsi="宋体" w:cs="宋体"/>
                <w:color w:val="000000"/>
                <w:sz w:val="24"/>
                <w:szCs w:val="24"/>
              </w:rPr>
            </w:pPr>
            <w:r>
              <w:rPr>
                <w:rFonts w:hint="eastAsia" w:ascii="宋体" w:hAnsi="宋体" w:cs="宋体"/>
                <w:color w:val="000000"/>
                <w:kern w:val="0"/>
                <w:sz w:val="24"/>
                <w:szCs w:val="24"/>
                <w:lang w:bidi="ar"/>
              </w:rPr>
              <w:t>7.2T1000rpm;48T7200rpm</w:t>
            </w:r>
          </w:p>
        </w:tc>
        <w:tc>
          <w:tcPr>
            <w:tcW w:w="731" w:type="dxa"/>
            <w:tcBorders>
              <w:top w:val="nil"/>
              <w:left w:val="nil"/>
              <w:bottom w:val="single" w:color="000000" w:sz="8" w:space="0"/>
              <w:right w:val="single" w:color="000000" w:sz="8" w:space="0"/>
            </w:tcBorders>
            <w:shd w:val="clear" w:color="auto" w:fill="auto"/>
            <w:tcMar>
              <w:top w:w="12" w:type="dxa"/>
              <w:left w:w="12" w:type="dxa"/>
              <w:right w:w="12" w:type="dxa"/>
            </w:tcMar>
          </w:tcPr>
          <w:p>
            <w:pPr>
              <w:widowControl/>
              <w:jc w:val="center"/>
              <w:textAlignment w:val="top"/>
              <w:rPr>
                <w:rFonts w:ascii="宋体" w:hAnsi="宋体" w:cs="宋体"/>
                <w:color w:val="000000"/>
                <w:sz w:val="24"/>
                <w:szCs w:val="24"/>
              </w:rPr>
            </w:pPr>
            <w:r>
              <w:rPr>
                <w:rFonts w:hint="eastAsia" w:ascii="宋体" w:hAnsi="宋体" w:cs="宋体"/>
                <w:color w:val="000000"/>
                <w:kern w:val="0"/>
                <w:sz w:val="24"/>
                <w:szCs w:val="24"/>
                <w:lang w:bidi="ar"/>
              </w:rPr>
              <w:t>1台</w:t>
            </w:r>
          </w:p>
        </w:tc>
        <w:tc>
          <w:tcPr>
            <w:tcW w:w="1573" w:type="dxa"/>
            <w:tcBorders>
              <w:top w:val="nil"/>
              <w:left w:val="nil"/>
              <w:bottom w:val="single" w:color="000000" w:sz="8" w:space="0"/>
              <w:right w:val="single" w:color="000000" w:sz="8" w:space="0"/>
            </w:tcBorders>
            <w:shd w:val="clear" w:color="auto" w:fill="auto"/>
            <w:tcMar>
              <w:top w:w="12" w:type="dxa"/>
              <w:left w:w="12" w:type="dxa"/>
              <w:right w:w="12" w:type="dxa"/>
            </w:tcMar>
          </w:tcPr>
          <w:p>
            <w:pPr>
              <w:widowControl/>
              <w:jc w:val="center"/>
              <w:textAlignment w:val="top"/>
              <w:rPr>
                <w:rFonts w:ascii="宋体" w:hAnsi="宋体" w:cs="宋体"/>
                <w:color w:val="000000"/>
                <w:sz w:val="24"/>
                <w:szCs w:val="24"/>
              </w:rPr>
            </w:pPr>
            <w:r>
              <w:rPr>
                <w:rFonts w:hint="eastAsia" w:ascii="宋体" w:hAnsi="宋体" w:cs="宋体"/>
                <w:color w:val="000000"/>
                <w:kern w:val="0"/>
                <w:sz w:val="24"/>
                <w:szCs w:val="24"/>
                <w:lang w:bidi="ar"/>
              </w:rPr>
              <w:t>2012年12月</w:t>
            </w:r>
          </w:p>
        </w:tc>
        <w:tc>
          <w:tcPr>
            <w:tcW w:w="1525" w:type="dxa"/>
            <w:tcBorders>
              <w:top w:val="nil"/>
              <w:left w:val="nil"/>
              <w:bottom w:val="single" w:color="000000" w:sz="8" w:space="0"/>
              <w:right w:val="single" w:color="000000" w:sz="8" w:space="0"/>
            </w:tcBorders>
            <w:shd w:val="clear" w:color="auto" w:fill="auto"/>
            <w:tcMar>
              <w:top w:w="12" w:type="dxa"/>
              <w:left w:w="12" w:type="dxa"/>
              <w:right w:w="12" w:type="dxa"/>
            </w:tcMar>
          </w:tcPr>
          <w:p>
            <w:pPr>
              <w:widowControl/>
              <w:jc w:val="left"/>
              <w:textAlignment w:val="top"/>
              <w:rPr>
                <w:rFonts w:ascii="宋体" w:hAnsi="宋体" w:cs="宋体"/>
                <w:color w:val="000000"/>
                <w:sz w:val="24"/>
                <w:szCs w:val="24"/>
              </w:rPr>
            </w:pPr>
            <w:r>
              <w:rPr>
                <w:rFonts w:hint="eastAsia" w:ascii="宋体" w:hAnsi="宋体" w:cs="宋体"/>
                <w:color w:val="000000"/>
                <w:kern w:val="0"/>
                <w:sz w:val="24"/>
                <w:szCs w:val="24"/>
                <w:lang w:bidi="ar"/>
              </w:rPr>
              <w:t>有效容量：7.3T；剩余：0.9T</w:t>
            </w:r>
          </w:p>
        </w:tc>
      </w:tr>
      <w:tr>
        <w:tblPrEx>
          <w:tblCellMar>
            <w:top w:w="0" w:type="dxa"/>
            <w:left w:w="0" w:type="dxa"/>
            <w:bottom w:w="0" w:type="dxa"/>
            <w:right w:w="0" w:type="dxa"/>
          </w:tblCellMar>
        </w:tblPrEx>
        <w:trPr>
          <w:trHeight w:val="445" w:hRule="atLeast"/>
        </w:trPr>
        <w:tc>
          <w:tcPr>
            <w:tcW w:w="563"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tcPr>
          <w:p>
            <w:pPr>
              <w:widowControl/>
              <w:jc w:val="center"/>
              <w:textAlignment w:val="top"/>
              <w:rPr>
                <w:rFonts w:ascii="宋体" w:hAnsi="宋体" w:cs="宋体"/>
                <w:color w:val="000000"/>
                <w:sz w:val="24"/>
                <w:szCs w:val="24"/>
              </w:rPr>
            </w:pPr>
            <w:r>
              <w:rPr>
                <w:rFonts w:hint="eastAsia" w:ascii="宋体" w:hAnsi="宋体" w:cs="宋体"/>
                <w:color w:val="000000"/>
                <w:kern w:val="0"/>
                <w:sz w:val="24"/>
                <w:szCs w:val="24"/>
                <w:lang w:bidi="ar"/>
              </w:rPr>
              <w:t>5</w:t>
            </w:r>
          </w:p>
        </w:tc>
        <w:tc>
          <w:tcPr>
            <w:tcW w:w="1767" w:type="dxa"/>
            <w:tcBorders>
              <w:top w:val="nil"/>
              <w:left w:val="nil"/>
              <w:bottom w:val="single" w:color="000000" w:sz="8" w:space="0"/>
              <w:right w:val="single" w:color="000000" w:sz="8" w:space="0"/>
            </w:tcBorders>
            <w:shd w:val="clear" w:color="auto" w:fill="auto"/>
            <w:tcMar>
              <w:top w:w="12" w:type="dxa"/>
              <w:left w:w="12" w:type="dxa"/>
              <w:right w:w="12" w:type="dxa"/>
            </w:tcMar>
          </w:tcPr>
          <w:p>
            <w:pPr>
              <w:widowControl/>
              <w:jc w:val="center"/>
              <w:textAlignment w:val="top"/>
              <w:rPr>
                <w:rFonts w:ascii="宋体" w:hAnsi="宋体" w:cs="宋体"/>
                <w:color w:val="000000"/>
                <w:sz w:val="24"/>
                <w:szCs w:val="24"/>
              </w:rPr>
            </w:pPr>
            <w:r>
              <w:rPr>
                <w:rFonts w:hint="eastAsia" w:ascii="宋体" w:hAnsi="宋体" w:cs="宋体"/>
                <w:color w:val="000000"/>
                <w:kern w:val="0"/>
                <w:sz w:val="24"/>
                <w:szCs w:val="24"/>
                <w:lang w:bidi="ar"/>
              </w:rPr>
              <w:t>FC光纤交换机</w:t>
            </w:r>
          </w:p>
        </w:tc>
        <w:tc>
          <w:tcPr>
            <w:tcW w:w="2160" w:type="dxa"/>
            <w:tcBorders>
              <w:top w:val="nil"/>
              <w:left w:val="nil"/>
              <w:bottom w:val="single" w:color="000000" w:sz="8" w:space="0"/>
              <w:right w:val="single" w:color="000000" w:sz="8" w:space="0"/>
            </w:tcBorders>
            <w:shd w:val="clear" w:color="auto" w:fill="auto"/>
            <w:tcMar>
              <w:top w:w="12" w:type="dxa"/>
              <w:left w:w="12" w:type="dxa"/>
              <w:right w:w="12" w:type="dxa"/>
            </w:tcMar>
          </w:tcPr>
          <w:p>
            <w:pPr>
              <w:jc w:val="center"/>
              <w:rPr>
                <w:rFonts w:ascii="宋体" w:hAnsi="宋体" w:cs="宋体"/>
                <w:color w:val="000000"/>
                <w:sz w:val="24"/>
                <w:szCs w:val="24"/>
              </w:rPr>
            </w:pPr>
          </w:p>
        </w:tc>
        <w:tc>
          <w:tcPr>
            <w:tcW w:w="731" w:type="dxa"/>
            <w:tcBorders>
              <w:top w:val="nil"/>
              <w:left w:val="nil"/>
              <w:bottom w:val="single" w:color="000000" w:sz="8" w:space="0"/>
              <w:right w:val="single" w:color="000000" w:sz="8" w:space="0"/>
            </w:tcBorders>
            <w:shd w:val="clear" w:color="auto" w:fill="auto"/>
            <w:tcMar>
              <w:top w:w="12" w:type="dxa"/>
              <w:left w:w="12" w:type="dxa"/>
              <w:right w:w="12" w:type="dxa"/>
            </w:tcMar>
          </w:tcPr>
          <w:p>
            <w:pPr>
              <w:widowControl/>
              <w:jc w:val="center"/>
              <w:textAlignment w:val="top"/>
              <w:rPr>
                <w:rFonts w:ascii="宋体" w:hAnsi="宋体" w:cs="宋体"/>
                <w:color w:val="000000"/>
                <w:sz w:val="24"/>
                <w:szCs w:val="24"/>
              </w:rPr>
            </w:pPr>
            <w:r>
              <w:rPr>
                <w:rFonts w:hint="eastAsia" w:ascii="宋体" w:hAnsi="宋体" w:cs="宋体"/>
                <w:color w:val="000000"/>
                <w:kern w:val="0"/>
                <w:sz w:val="24"/>
                <w:szCs w:val="24"/>
                <w:lang w:bidi="ar"/>
              </w:rPr>
              <w:t>2台</w:t>
            </w:r>
          </w:p>
        </w:tc>
        <w:tc>
          <w:tcPr>
            <w:tcW w:w="1573" w:type="dxa"/>
            <w:tcBorders>
              <w:top w:val="nil"/>
              <w:left w:val="nil"/>
              <w:bottom w:val="single" w:color="000000" w:sz="8" w:space="0"/>
              <w:right w:val="single" w:color="000000" w:sz="8" w:space="0"/>
            </w:tcBorders>
            <w:shd w:val="clear" w:color="auto" w:fill="auto"/>
            <w:tcMar>
              <w:top w:w="12" w:type="dxa"/>
              <w:left w:w="12" w:type="dxa"/>
              <w:right w:w="12" w:type="dxa"/>
            </w:tcMar>
          </w:tcPr>
          <w:p>
            <w:pPr>
              <w:widowControl/>
              <w:jc w:val="center"/>
              <w:textAlignment w:val="top"/>
              <w:rPr>
                <w:rFonts w:ascii="宋体" w:hAnsi="宋体" w:cs="宋体"/>
                <w:color w:val="000000"/>
                <w:sz w:val="24"/>
                <w:szCs w:val="24"/>
              </w:rPr>
            </w:pPr>
            <w:r>
              <w:rPr>
                <w:rFonts w:hint="eastAsia" w:ascii="宋体" w:hAnsi="宋体" w:cs="宋体"/>
                <w:color w:val="000000"/>
                <w:kern w:val="0"/>
                <w:sz w:val="24"/>
                <w:szCs w:val="24"/>
                <w:lang w:bidi="ar"/>
              </w:rPr>
              <w:t>2012年12月</w:t>
            </w:r>
          </w:p>
        </w:tc>
        <w:tc>
          <w:tcPr>
            <w:tcW w:w="1525" w:type="dxa"/>
            <w:tcBorders>
              <w:top w:val="nil"/>
              <w:left w:val="nil"/>
              <w:bottom w:val="single" w:color="000000" w:sz="8" w:space="0"/>
              <w:right w:val="single" w:color="000000" w:sz="8"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r>
    </w:tbl>
    <w:p>
      <w:pPr>
        <w:widowControl/>
        <w:spacing w:line="360" w:lineRule="auto"/>
        <w:ind w:firstLine="480" w:firstLineChars="200"/>
        <w:rPr>
          <w:rFonts w:ascii="Tahoma" w:hAnsi="Tahoma" w:cs="宋体"/>
          <w:sz w:val="24"/>
          <w:szCs w:val="24"/>
        </w:rPr>
      </w:pPr>
    </w:p>
    <w:p>
      <w:pPr>
        <w:pStyle w:val="3"/>
        <w:numPr>
          <w:ilvl w:val="0"/>
          <w:numId w:val="0"/>
        </w:numPr>
        <w:spacing w:line="360" w:lineRule="auto"/>
        <w:ind w:firstLine="480" w:firstLineChars="200"/>
        <w:jc w:val="left"/>
        <w:rPr>
          <w:rFonts w:ascii="宋体" w:hAnsi="宋体" w:cs="黑体"/>
        </w:rPr>
      </w:pPr>
      <w:r>
        <w:rPr>
          <w:rFonts w:hint="eastAsia" w:ascii="宋体" w:hAnsi="宋体" w:cs="黑体"/>
        </w:rPr>
        <w:t>二、建设项目</w:t>
      </w:r>
    </w:p>
    <w:p>
      <w:pPr>
        <w:widowControl/>
        <w:spacing w:line="360" w:lineRule="auto"/>
        <w:ind w:firstLine="480" w:firstLineChars="200"/>
        <w:rPr>
          <w:rFonts w:ascii="宋体" w:hAnsi="宋体" w:cs="Tahoma"/>
          <w:sz w:val="24"/>
          <w:szCs w:val="24"/>
        </w:rPr>
      </w:pPr>
      <w:r>
        <w:rPr>
          <w:rFonts w:hint="eastAsia" w:ascii="宋体" w:hAnsi="宋体" w:cs="宋体"/>
          <w:sz w:val="24"/>
          <w:szCs w:val="24"/>
        </w:rPr>
        <w:t>本次项目采购包含以下内容：</w:t>
      </w:r>
    </w:p>
    <w:p>
      <w:pPr>
        <w:pStyle w:val="46"/>
        <w:widowControl/>
        <w:spacing w:line="360" w:lineRule="auto"/>
        <w:ind w:firstLineChars="0"/>
        <w:rPr>
          <w:rFonts w:ascii="宋体" w:hAnsi="宋体" w:cs="Tahoma"/>
          <w:sz w:val="24"/>
          <w:szCs w:val="24"/>
        </w:rPr>
      </w:pPr>
      <w:r>
        <w:rPr>
          <w:rFonts w:hint="eastAsia" w:ascii="宋体" w:hAnsi="宋体" w:cs="宋体"/>
          <w:sz w:val="24"/>
          <w:szCs w:val="24"/>
        </w:rPr>
        <w:t>1.对服务器、超融合虚拟化平台、交换机、数据中心交换机及相应模块进行采购并部署。</w:t>
      </w:r>
    </w:p>
    <w:p>
      <w:pPr>
        <w:pStyle w:val="22"/>
        <w:spacing w:before="0" w:beforeAutospacing="0" w:after="0" w:afterAutospacing="0" w:line="360" w:lineRule="auto"/>
        <w:ind w:firstLine="480" w:firstLineChars="200"/>
        <w:jc w:val="both"/>
        <w:rPr>
          <w:rFonts w:cs="Times New Roman"/>
          <w:color w:val="auto"/>
          <w:sz w:val="24"/>
          <w:szCs w:val="24"/>
        </w:rPr>
      </w:pPr>
      <w:r>
        <w:rPr>
          <w:color w:val="auto"/>
          <w:sz w:val="24"/>
          <w:szCs w:val="24"/>
        </w:rPr>
        <w:t>2.</w:t>
      </w:r>
      <w:r>
        <w:rPr>
          <w:rFonts w:hint="eastAsia"/>
          <w:color w:val="auto"/>
          <w:sz w:val="24"/>
          <w:szCs w:val="24"/>
        </w:rPr>
        <w:t>采用主流国产最新版超融合技术构建虚拟化基础架构。</w:t>
      </w:r>
    </w:p>
    <w:p>
      <w:pPr>
        <w:pStyle w:val="22"/>
        <w:spacing w:before="0" w:beforeAutospacing="0" w:after="0" w:afterAutospacing="0" w:line="360" w:lineRule="auto"/>
        <w:ind w:firstLine="480" w:firstLineChars="200"/>
        <w:jc w:val="both"/>
        <w:rPr>
          <w:color w:val="auto"/>
          <w:sz w:val="24"/>
          <w:szCs w:val="24"/>
        </w:rPr>
      </w:pPr>
      <w:r>
        <w:rPr>
          <w:color w:val="auto"/>
          <w:sz w:val="24"/>
          <w:szCs w:val="24"/>
        </w:rPr>
        <w:t>3.</w:t>
      </w:r>
      <w:r>
        <w:rPr>
          <w:rFonts w:hint="eastAsia"/>
          <w:color w:val="auto"/>
          <w:sz w:val="24"/>
          <w:szCs w:val="24"/>
        </w:rPr>
        <w:t>原厂提供迁移服务，将学校指定的现有虚拟化平台上的虚拟机以及物理服务器承载的应用无缝迁移至最新虚拟化平台(不多于40个</w:t>
      </w:r>
      <w:r>
        <w:rPr>
          <w:color w:val="auto"/>
          <w:sz w:val="24"/>
          <w:szCs w:val="24"/>
        </w:rPr>
        <w:t>系统</w:t>
      </w:r>
      <w:r>
        <w:rPr>
          <w:rFonts w:hint="eastAsia"/>
          <w:color w:val="auto"/>
          <w:sz w:val="24"/>
          <w:szCs w:val="24"/>
        </w:rPr>
        <w:t>)，并保证学校正常教学期间业务不中断。</w:t>
      </w:r>
    </w:p>
    <w:p>
      <w:pPr>
        <w:pStyle w:val="22"/>
        <w:spacing w:before="0" w:beforeAutospacing="0" w:after="0" w:afterAutospacing="0" w:line="360" w:lineRule="auto"/>
        <w:ind w:firstLine="480" w:firstLineChars="200"/>
        <w:jc w:val="both"/>
        <w:rPr>
          <w:color w:val="auto"/>
          <w:sz w:val="24"/>
          <w:szCs w:val="24"/>
        </w:rPr>
      </w:pPr>
      <w:r>
        <w:rPr>
          <w:color w:val="auto"/>
          <w:sz w:val="24"/>
          <w:szCs w:val="24"/>
        </w:rPr>
        <w:t>4.</w:t>
      </w:r>
      <w:r>
        <w:rPr>
          <w:rFonts w:hint="eastAsia"/>
          <w:color w:val="auto"/>
          <w:sz w:val="24"/>
          <w:szCs w:val="24"/>
        </w:rPr>
        <w:t>协助诊断现有虚拟机及应用系统存在问题，按</w:t>
      </w:r>
      <w:r>
        <w:rPr>
          <w:color w:val="auto"/>
          <w:sz w:val="24"/>
          <w:szCs w:val="24"/>
        </w:rPr>
        <w:t>学校要求重新部署旧有虚拟化及存储配置，</w:t>
      </w:r>
      <w:r>
        <w:rPr>
          <w:rFonts w:hint="eastAsia"/>
          <w:color w:val="auto"/>
          <w:sz w:val="24"/>
          <w:szCs w:val="24"/>
        </w:rPr>
        <w:t>提供相关的技术支持服务及问题解决方案。</w:t>
      </w:r>
    </w:p>
    <w:p>
      <w:pPr>
        <w:pStyle w:val="22"/>
        <w:spacing w:before="0" w:beforeAutospacing="0" w:after="0" w:afterAutospacing="0" w:line="360" w:lineRule="auto"/>
        <w:ind w:firstLine="480" w:firstLineChars="200"/>
        <w:jc w:val="both"/>
        <w:rPr>
          <w:color w:val="auto"/>
          <w:sz w:val="24"/>
          <w:szCs w:val="24"/>
        </w:rPr>
      </w:pPr>
      <w:r>
        <w:rPr>
          <w:color w:val="auto"/>
          <w:sz w:val="24"/>
          <w:szCs w:val="24"/>
        </w:rPr>
        <w:t>5.</w:t>
      </w:r>
      <w:r>
        <w:rPr>
          <w:rFonts w:hint="eastAsia"/>
          <w:color w:val="auto"/>
          <w:sz w:val="24"/>
          <w:szCs w:val="24"/>
        </w:rPr>
        <w:t>按学校要求重新梳理现有服务器、存储的线路连接以及数据中心交换机相关的网络设置（包括与主核心Juniper MX960的对接）</w:t>
      </w:r>
    </w:p>
    <w:p>
      <w:pPr>
        <w:pStyle w:val="46"/>
        <w:widowControl/>
        <w:spacing w:line="360" w:lineRule="auto"/>
        <w:ind w:firstLineChars="0"/>
        <w:rPr>
          <w:rFonts w:ascii="宋体" w:hAnsi="宋体" w:cs="宋体"/>
          <w:sz w:val="24"/>
          <w:szCs w:val="24"/>
        </w:rPr>
      </w:pPr>
      <w:r>
        <w:rPr>
          <w:rFonts w:ascii="宋体" w:hAnsi="宋体"/>
          <w:sz w:val="24"/>
          <w:szCs w:val="24"/>
        </w:rPr>
        <w:t xml:space="preserve">6. </w:t>
      </w:r>
      <w:r>
        <w:rPr>
          <w:rFonts w:hint="eastAsia" w:ascii="宋体" w:hAnsi="宋体"/>
          <w:sz w:val="24"/>
          <w:szCs w:val="24"/>
        </w:rPr>
        <w:t>按学校要求部署数据中心交换机，</w:t>
      </w:r>
      <w:r>
        <w:rPr>
          <w:rFonts w:hint="eastAsia" w:ascii="宋体" w:hAnsi="宋体" w:cs="宋体"/>
          <w:sz w:val="24"/>
          <w:szCs w:val="24"/>
        </w:rPr>
        <w:t>将业务网关重新部署在数据中心交换机上，并实现2台数据中心交换机虚拟化统一管理，实现对服务器的网络线路连接及参数设置。</w:t>
      </w:r>
    </w:p>
    <w:p>
      <w:pPr>
        <w:pStyle w:val="46"/>
        <w:widowControl/>
        <w:spacing w:line="360" w:lineRule="auto"/>
        <w:ind w:firstLineChars="0"/>
        <w:jc w:val="left"/>
        <w:rPr>
          <w:rFonts w:ascii="Tahoma" w:hAnsi="Tahoma" w:cs="宋体"/>
        </w:rPr>
      </w:pPr>
      <w:r>
        <w:rPr>
          <w:sz w:val="24"/>
          <w:szCs w:val="24"/>
        </w:rPr>
        <w:t>7.</w:t>
      </w:r>
      <w:r>
        <w:rPr>
          <w:rFonts w:hint="eastAsia"/>
          <w:sz w:val="24"/>
          <w:szCs w:val="24"/>
        </w:rPr>
        <w:t>相关知识培训（保证工作人员能在日常工作中使用相关设备功能）、资料</w:t>
      </w:r>
      <w:r>
        <w:rPr>
          <w:sz w:val="24"/>
          <w:szCs w:val="24"/>
        </w:rPr>
        <w:t>整理，</w:t>
      </w:r>
      <w:r>
        <w:rPr>
          <w:rFonts w:hint="eastAsia"/>
          <w:sz w:val="24"/>
          <w:szCs w:val="24"/>
        </w:rPr>
        <w:t>并提供技术参数表中的</w:t>
      </w:r>
      <w:r>
        <w:rPr>
          <w:sz w:val="24"/>
          <w:szCs w:val="24"/>
        </w:rPr>
        <w:t>7*24</w:t>
      </w:r>
      <w:r>
        <w:rPr>
          <w:rFonts w:hint="eastAsia"/>
          <w:sz w:val="24"/>
          <w:szCs w:val="24"/>
        </w:rPr>
        <w:t>现场技术支持服务。</w:t>
      </w:r>
    </w:p>
    <w:p>
      <w:pPr>
        <w:pStyle w:val="46"/>
        <w:widowControl/>
        <w:spacing w:line="360" w:lineRule="auto"/>
        <w:ind w:firstLineChars="0"/>
        <w:jc w:val="center"/>
        <w:rPr>
          <w:rFonts w:ascii="Tahoma" w:hAnsi="Tahoma" w:cs="宋体"/>
        </w:rPr>
      </w:pPr>
    </w:p>
    <w:p>
      <w:pPr>
        <w:pStyle w:val="46"/>
        <w:widowControl/>
        <w:spacing w:line="360" w:lineRule="auto"/>
        <w:ind w:firstLineChars="0"/>
        <w:jc w:val="center"/>
        <w:rPr>
          <w:rFonts w:ascii="Tahoma" w:hAnsi="Tahoma" w:cs="宋体"/>
        </w:rPr>
      </w:pPr>
    </w:p>
    <w:p>
      <w:pPr>
        <w:pStyle w:val="46"/>
        <w:widowControl/>
        <w:spacing w:line="360" w:lineRule="auto"/>
        <w:ind w:firstLineChars="0"/>
        <w:jc w:val="center"/>
        <w:rPr>
          <w:rFonts w:ascii="Tahoma" w:hAnsi="Tahoma" w:cs="宋体"/>
        </w:rPr>
      </w:pPr>
    </w:p>
    <w:p>
      <w:pPr>
        <w:pStyle w:val="46"/>
        <w:widowControl/>
        <w:spacing w:line="360" w:lineRule="auto"/>
        <w:ind w:firstLineChars="0"/>
        <w:jc w:val="center"/>
        <w:rPr>
          <w:rFonts w:ascii="Tahoma" w:hAnsi="Tahoma" w:cs="宋体"/>
        </w:rPr>
      </w:pPr>
    </w:p>
    <w:p>
      <w:pPr>
        <w:pStyle w:val="46"/>
        <w:widowControl/>
        <w:spacing w:line="360" w:lineRule="auto"/>
        <w:ind w:firstLineChars="0"/>
        <w:jc w:val="center"/>
        <w:rPr>
          <w:rFonts w:ascii="Tahoma" w:hAnsi="Tahoma" w:cs="宋体"/>
        </w:rPr>
      </w:pPr>
    </w:p>
    <w:p>
      <w:pPr>
        <w:pStyle w:val="46"/>
        <w:widowControl/>
        <w:spacing w:line="360" w:lineRule="auto"/>
        <w:ind w:firstLineChars="0"/>
        <w:jc w:val="center"/>
        <w:rPr>
          <w:rFonts w:ascii="Tahoma" w:hAnsi="Tahoma" w:cs="宋体"/>
        </w:rPr>
      </w:pPr>
    </w:p>
    <w:p>
      <w:pPr>
        <w:pStyle w:val="46"/>
        <w:widowControl/>
        <w:spacing w:line="360" w:lineRule="auto"/>
        <w:ind w:firstLineChars="0"/>
        <w:jc w:val="center"/>
        <w:rPr>
          <w:rFonts w:ascii="Tahoma" w:hAnsi="Tahoma" w:cs="宋体"/>
        </w:rPr>
      </w:pPr>
    </w:p>
    <w:p>
      <w:pPr>
        <w:pStyle w:val="46"/>
        <w:widowControl/>
        <w:spacing w:line="360" w:lineRule="auto"/>
        <w:ind w:firstLineChars="0"/>
        <w:jc w:val="center"/>
        <w:rPr>
          <w:rFonts w:ascii="Tahoma" w:hAnsi="Tahoma" w:cs="宋体"/>
        </w:rPr>
      </w:pPr>
    </w:p>
    <w:p>
      <w:pPr>
        <w:pStyle w:val="46"/>
        <w:widowControl/>
        <w:spacing w:line="360" w:lineRule="auto"/>
        <w:ind w:firstLine="0" w:firstLineChars="0"/>
        <w:rPr>
          <w:rFonts w:ascii="Tahoma" w:hAnsi="Tahoma" w:cs="宋体"/>
        </w:rPr>
      </w:pPr>
    </w:p>
    <w:p>
      <w:pPr>
        <w:pStyle w:val="46"/>
        <w:widowControl/>
        <w:spacing w:line="360" w:lineRule="auto"/>
        <w:ind w:firstLineChars="0"/>
        <w:jc w:val="center"/>
        <w:rPr>
          <w:rFonts w:ascii="Tahoma" w:hAnsi="Tahoma" w:cs="宋体"/>
        </w:rPr>
      </w:pPr>
    </w:p>
    <w:p>
      <w:pPr>
        <w:pStyle w:val="46"/>
        <w:widowControl/>
        <w:spacing w:line="360" w:lineRule="auto"/>
        <w:ind w:firstLineChars="0"/>
        <w:jc w:val="center"/>
        <w:rPr>
          <w:rFonts w:ascii="Tahoma" w:hAnsi="Tahoma" w:cs="宋体"/>
        </w:rPr>
      </w:pPr>
    </w:p>
    <w:p>
      <w:pPr>
        <w:pStyle w:val="46"/>
        <w:widowControl/>
        <w:spacing w:line="360" w:lineRule="auto"/>
        <w:ind w:firstLineChars="0"/>
        <w:jc w:val="center"/>
        <w:rPr>
          <w:rFonts w:ascii="Tahoma" w:hAnsi="Tahoma" w:cs="宋体"/>
        </w:rPr>
      </w:pPr>
    </w:p>
    <w:p>
      <w:r>
        <w:rPr>
          <w:rFonts w:hint="eastAsia"/>
        </w:rPr>
        <w:br w:type="page"/>
      </w:r>
    </w:p>
    <w:p>
      <w:pPr>
        <w:pStyle w:val="2"/>
        <w:spacing w:line="360" w:lineRule="auto"/>
        <w:jc w:val="center"/>
      </w:pPr>
      <w:bookmarkStart w:id="4" w:name="_Toc32544"/>
      <w:r>
        <w:rPr>
          <w:rFonts w:hint="eastAsia"/>
        </w:rPr>
        <w:t>第三部分 技术参数</w:t>
      </w:r>
      <w:bookmarkEnd w:id="4"/>
    </w:p>
    <w:p>
      <w:pPr>
        <w:pStyle w:val="3"/>
        <w:numPr>
          <w:ilvl w:val="0"/>
          <w:numId w:val="0"/>
        </w:numPr>
        <w:spacing w:line="360" w:lineRule="auto"/>
        <w:rPr>
          <w:rFonts w:ascii="宋体" w:hAnsi="宋体" w:cs="黑体"/>
        </w:rPr>
      </w:pPr>
      <w:r>
        <w:rPr>
          <w:rFonts w:hint="eastAsia" w:ascii="宋体" w:hAnsi="宋体" w:cs="黑体"/>
        </w:rPr>
        <w:t>服务器、超融合虚拟化平台、交换机等采购清单及技术要求（</w:t>
      </w:r>
      <w:bookmarkStart w:id="5" w:name="OLE_LINK2"/>
      <w:bookmarkStart w:id="6" w:name="OLE_LINK1"/>
      <w:r>
        <w:rPr>
          <w:rFonts w:hint="eastAsia" w:ascii="宋体" w:hAnsi="宋体" w:cs="黑体"/>
        </w:rPr>
        <w:t>满足超融合平台所需使用的各种</w:t>
      </w:r>
      <w:r>
        <w:rPr>
          <w:rFonts w:ascii="宋体" w:hAnsi="宋体" w:cs="黑体"/>
        </w:rPr>
        <w:t>授权</w:t>
      </w:r>
      <w:bookmarkEnd w:id="5"/>
      <w:bookmarkEnd w:id="6"/>
      <w:r>
        <w:rPr>
          <w:rFonts w:hint="eastAsia" w:ascii="宋体" w:hAnsi="宋体" w:cs="黑体"/>
        </w:rPr>
        <w:t>）</w:t>
      </w:r>
    </w:p>
    <w:tbl>
      <w:tblPr>
        <w:tblStyle w:val="24"/>
        <w:tblW w:w="8480" w:type="dxa"/>
        <w:tblInd w:w="-5" w:type="dxa"/>
        <w:tblLayout w:type="fixed"/>
        <w:tblCellMar>
          <w:top w:w="15" w:type="dxa"/>
          <w:left w:w="15" w:type="dxa"/>
          <w:bottom w:w="15" w:type="dxa"/>
          <w:right w:w="15" w:type="dxa"/>
        </w:tblCellMar>
      </w:tblPr>
      <w:tblGrid>
        <w:gridCol w:w="467"/>
        <w:gridCol w:w="780"/>
        <w:gridCol w:w="5368"/>
        <w:gridCol w:w="558"/>
        <w:gridCol w:w="624"/>
        <w:gridCol w:w="683"/>
      </w:tblGrid>
      <w:tr>
        <w:tblPrEx>
          <w:tblCellMar>
            <w:top w:w="15" w:type="dxa"/>
            <w:left w:w="15" w:type="dxa"/>
            <w:bottom w:w="15" w:type="dxa"/>
            <w:right w:w="15" w:type="dxa"/>
          </w:tblCellMar>
        </w:tblPrEx>
        <w:trPr>
          <w:trHeight w:val="286"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before="240" w:line="360" w:lineRule="auto"/>
              <w:jc w:val="center"/>
              <w:textAlignment w:val="top"/>
              <w:rPr>
                <w:rFonts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lang w:bidi="ar"/>
              </w:rPr>
              <w:t>序号</w:t>
            </w:r>
          </w:p>
        </w:tc>
        <w:tc>
          <w:tcPr>
            <w:tcW w:w="78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cs="宋体" w:asciiTheme="minorEastAsia" w:hAnsiTheme="minorEastAsia" w:eastAsiaTheme="minorEastAsia"/>
                <w:b/>
                <w:color w:val="000000"/>
                <w:kern w:val="0"/>
                <w:sz w:val="18"/>
                <w:szCs w:val="18"/>
                <w:lang w:bidi="ar"/>
              </w:rPr>
            </w:pPr>
            <w:r>
              <w:rPr>
                <w:rFonts w:hint="eastAsia" w:cs="宋体" w:asciiTheme="minorEastAsia" w:hAnsiTheme="minorEastAsia" w:eastAsiaTheme="minorEastAsia"/>
                <w:b/>
                <w:color w:val="000000"/>
                <w:kern w:val="0"/>
                <w:sz w:val="18"/>
                <w:szCs w:val="18"/>
                <w:lang w:bidi="ar"/>
              </w:rPr>
              <w:t>设备</w:t>
            </w:r>
          </w:p>
          <w:p>
            <w:pPr>
              <w:widowControl/>
              <w:spacing w:line="360" w:lineRule="auto"/>
              <w:jc w:val="center"/>
              <w:textAlignment w:val="top"/>
              <w:rPr>
                <w:rFonts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lang w:bidi="ar"/>
              </w:rPr>
              <w:t>名称</w:t>
            </w:r>
          </w:p>
        </w:tc>
        <w:tc>
          <w:tcPr>
            <w:tcW w:w="53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before="240" w:line="360" w:lineRule="auto"/>
              <w:jc w:val="center"/>
              <w:textAlignment w:val="top"/>
              <w:rPr>
                <w:rFonts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lang w:bidi="ar"/>
              </w:rPr>
              <w:t>规格参数</w:t>
            </w:r>
          </w:p>
        </w:tc>
        <w:tc>
          <w:tcPr>
            <w:tcW w:w="55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before="240" w:line="360" w:lineRule="auto"/>
              <w:textAlignment w:val="top"/>
              <w:rPr>
                <w:rFonts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lang w:bidi="ar"/>
              </w:rPr>
              <w:t>数量</w:t>
            </w:r>
          </w:p>
        </w:tc>
        <w:tc>
          <w:tcPr>
            <w:tcW w:w="62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before="240" w:line="360" w:lineRule="auto"/>
              <w:jc w:val="center"/>
              <w:textAlignment w:val="top"/>
              <w:rPr>
                <w:rFonts w:cs="宋体" w:asciiTheme="minorEastAsia" w:hAnsiTheme="minorEastAsia" w:eastAsiaTheme="minorEastAsia"/>
                <w:b/>
                <w:color w:val="000000"/>
                <w:kern w:val="0"/>
                <w:sz w:val="18"/>
                <w:szCs w:val="18"/>
                <w:lang w:bidi="ar"/>
              </w:rPr>
            </w:pPr>
            <w:r>
              <w:rPr>
                <w:rFonts w:hint="eastAsia" w:cs="宋体" w:asciiTheme="minorEastAsia" w:hAnsiTheme="minorEastAsia" w:eastAsiaTheme="minorEastAsia"/>
                <w:b/>
                <w:color w:val="000000"/>
                <w:kern w:val="0"/>
                <w:sz w:val="18"/>
                <w:szCs w:val="18"/>
                <w:lang w:bidi="ar"/>
              </w:rPr>
              <w:t>保修期</w:t>
            </w:r>
          </w:p>
        </w:tc>
        <w:tc>
          <w:tcPr>
            <w:tcW w:w="683"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before="240" w:line="360" w:lineRule="auto"/>
              <w:jc w:val="center"/>
              <w:textAlignment w:val="top"/>
              <w:rPr>
                <w:rFonts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lang w:bidi="ar"/>
              </w:rPr>
              <w:t>备注</w:t>
            </w:r>
          </w:p>
        </w:tc>
      </w:tr>
      <w:tr>
        <w:tblPrEx>
          <w:tblCellMar>
            <w:top w:w="15" w:type="dxa"/>
            <w:left w:w="15" w:type="dxa"/>
            <w:bottom w:w="15" w:type="dxa"/>
            <w:right w:w="15" w:type="dxa"/>
          </w:tblCellMar>
        </w:tblPrEx>
        <w:trPr>
          <w:trHeight w:val="388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服务器</w:t>
            </w:r>
          </w:p>
        </w:tc>
        <w:tc>
          <w:tcPr>
            <w:tcW w:w="53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1、机架式服务器，标配原厂导轨。</w:t>
            </w:r>
          </w:p>
          <w:p>
            <w:pPr>
              <w:widowControl/>
              <w:spacing w:line="360" w:lineRule="auto"/>
              <w:textAlignment w:val="top"/>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2、CPU配置≥2颗，单颗</w:t>
            </w:r>
            <w:r>
              <w:rPr>
                <w:rFonts w:cs="宋体" w:asciiTheme="minorEastAsia" w:hAnsiTheme="minorEastAsia" w:eastAsiaTheme="minorEastAsia"/>
                <w:color w:val="000000"/>
                <w:kern w:val="0"/>
                <w:sz w:val="18"/>
                <w:szCs w:val="18"/>
                <w:lang w:bidi="ar"/>
              </w:rPr>
              <w:t>CPU</w:t>
            </w:r>
            <w:r>
              <w:rPr>
                <w:rFonts w:hint="eastAsia" w:cs="宋体" w:asciiTheme="minorEastAsia" w:hAnsiTheme="minorEastAsia" w:eastAsiaTheme="minorEastAsia"/>
                <w:color w:val="000000"/>
                <w:kern w:val="0"/>
                <w:sz w:val="18"/>
                <w:szCs w:val="18"/>
                <w:lang w:bidi="ar"/>
              </w:rPr>
              <w:t>≥</w:t>
            </w:r>
            <w:r>
              <w:rPr>
                <w:rFonts w:cs="宋体" w:asciiTheme="minorEastAsia" w:hAnsiTheme="minorEastAsia" w:eastAsiaTheme="minorEastAsia"/>
                <w:color w:val="000000"/>
                <w:kern w:val="0"/>
                <w:sz w:val="18"/>
                <w:szCs w:val="18"/>
                <w:lang w:bidi="ar"/>
              </w:rPr>
              <w:t>16</w:t>
            </w:r>
            <w:r>
              <w:rPr>
                <w:rFonts w:hint="eastAsia" w:cs="宋体" w:asciiTheme="minorEastAsia" w:hAnsiTheme="minorEastAsia" w:eastAsiaTheme="minorEastAsia"/>
                <w:color w:val="000000"/>
                <w:kern w:val="0"/>
                <w:sz w:val="18"/>
                <w:szCs w:val="18"/>
                <w:lang w:bidi="ar"/>
              </w:rPr>
              <w:t>核、≥2.</w:t>
            </w:r>
            <w:r>
              <w:rPr>
                <w:rFonts w:cs="宋体" w:asciiTheme="minorEastAsia" w:hAnsiTheme="minorEastAsia" w:eastAsiaTheme="minorEastAsia"/>
                <w:color w:val="000000"/>
                <w:kern w:val="0"/>
                <w:sz w:val="18"/>
                <w:szCs w:val="18"/>
                <w:lang w:bidi="ar"/>
              </w:rPr>
              <w:t>4</w:t>
            </w:r>
            <w:r>
              <w:rPr>
                <w:rFonts w:hint="eastAsia" w:cs="宋体" w:asciiTheme="minorEastAsia" w:hAnsiTheme="minorEastAsia" w:eastAsiaTheme="minorEastAsia"/>
                <w:color w:val="000000"/>
                <w:kern w:val="0"/>
                <w:sz w:val="18"/>
                <w:szCs w:val="18"/>
                <w:lang w:bidi="ar"/>
              </w:rPr>
              <w:t>GHz。</w:t>
            </w:r>
          </w:p>
          <w:p>
            <w:pPr>
              <w:widowControl/>
              <w:spacing w:line="360" w:lineRule="auto"/>
              <w:textAlignment w:val="top"/>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3、内存配置≥512G，速率≥2933</w:t>
            </w:r>
            <w:r>
              <w:rPr>
                <w:rFonts w:cs="宋体" w:asciiTheme="minorEastAsia" w:hAnsiTheme="minorEastAsia" w:eastAsiaTheme="minorEastAsia"/>
                <w:color w:val="000000"/>
                <w:kern w:val="0"/>
                <w:sz w:val="18"/>
                <w:szCs w:val="18"/>
                <w:lang w:bidi="ar"/>
              </w:rPr>
              <w:t>MT/S</w:t>
            </w:r>
            <w:r>
              <w:rPr>
                <w:rFonts w:hint="eastAsia" w:cs="宋体" w:asciiTheme="minorEastAsia" w:hAnsiTheme="minorEastAsia" w:eastAsiaTheme="minorEastAsia"/>
                <w:color w:val="000000"/>
                <w:kern w:val="0"/>
                <w:sz w:val="18"/>
                <w:szCs w:val="18"/>
                <w:lang w:bidi="ar"/>
              </w:rPr>
              <w:t>，总内存插槽数不少于24个。</w:t>
            </w:r>
          </w:p>
          <w:p>
            <w:pPr>
              <w:widowControl/>
              <w:spacing w:line="360" w:lineRule="auto"/>
              <w:textAlignment w:val="top"/>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4、RAID卡要求支持RAID0/RAID1/RAID10/</w:t>
            </w:r>
            <w:r>
              <w:rPr>
                <w:rFonts w:cs="宋体" w:asciiTheme="minorEastAsia" w:hAnsiTheme="minorEastAsia" w:eastAsiaTheme="minorEastAsia"/>
                <w:color w:val="000000"/>
                <w:kern w:val="0"/>
                <w:sz w:val="18"/>
                <w:szCs w:val="18"/>
                <w:lang w:bidi="ar"/>
              </w:rPr>
              <w:t>/</w:t>
            </w:r>
            <w:r>
              <w:rPr>
                <w:rFonts w:hint="eastAsia" w:cs="宋体" w:asciiTheme="minorEastAsia" w:hAnsiTheme="minorEastAsia" w:eastAsiaTheme="minorEastAsia"/>
                <w:color w:val="000000"/>
                <w:kern w:val="0"/>
                <w:sz w:val="18"/>
                <w:szCs w:val="18"/>
                <w:lang w:bidi="ar"/>
              </w:rPr>
              <w:t>RAID</w:t>
            </w:r>
            <w:r>
              <w:rPr>
                <w:rFonts w:cs="宋体" w:asciiTheme="minorEastAsia" w:hAnsiTheme="minorEastAsia" w:eastAsiaTheme="minorEastAsia"/>
                <w:color w:val="000000"/>
                <w:kern w:val="0"/>
                <w:sz w:val="18"/>
                <w:szCs w:val="18"/>
                <w:lang w:bidi="ar"/>
              </w:rPr>
              <w:t>5//</w:t>
            </w:r>
            <w:r>
              <w:rPr>
                <w:rFonts w:hint="eastAsia" w:cs="宋体" w:asciiTheme="minorEastAsia" w:hAnsiTheme="minorEastAsia" w:eastAsiaTheme="minorEastAsia"/>
                <w:color w:val="000000"/>
                <w:kern w:val="0"/>
                <w:sz w:val="18"/>
                <w:szCs w:val="18"/>
                <w:lang w:bidi="ar"/>
              </w:rPr>
              <w:t>RAID</w:t>
            </w:r>
            <w:r>
              <w:rPr>
                <w:rFonts w:cs="宋体" w:asciiTheme="minorEastAsia" w:hAnsiTheme="minorEastAsia" w:eastAsiaTheme="minorEastAsia"/>
                <w:color w:val="000000"/>
                <w:kern w:val="0"/>
                <w:sz w:val="18"/>
                <w:szCs w:val="18"/>
                <w:lang w:bidi="ar"/>
              </w:rPr>
              <w:t>6</w:t>
            </w:r>
            <w:r>
              <w:rPr>
                <w:rFonts w:hint="eastAsia" w:cs="宋体" w:asciiTheme="minorEastAsia" w:hAnsiTheme="minorEastAsia" w:eastAsiaTheme="minorEastAsia"/>
                <w:color w:val="000000"/>
                <w:kern w:val="0"/>
                <w:sz w:val="18"/>
                <w:szCs w:val="18"/>
                <w:lang w:bidi="ar"/>
              </w:rPr>
              <w:t>。</w:t>
            </w:r>
          </w:p>
          <w:p>
            <w:pPr>
              <w:widowControl/>
              <w:spacing w:line="360" w:lineRule="auto"/>
              <w:textAlignment w:val="top"/>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5、磁盘配置≥2块</w:t>
            </w:r>
            <w:r>
              <w:rPr>
                <w:rFonts w:cs="宋体" w:asciiTheme="minorEastAsia" w:hAnsiTheme="minorEastAsia" w:eastAsiaTheme="minorEastAsia"/>
                <w:color w:val="000000"/>
                <w:kern w:val="0"/>
                <w:sz w:val="18"/>
                <w:szCs w:val="18"/>
                <w:lang w:bidi="ar"/>
              </w:rPr>
              <w:t>128</w:t>
            </w:r>
            <w:r>
              <w:rPr>
                <w:rFonts w:hint="eastAsia" w:cs="宋体" w:asciiTheme="minorEastAsia" w:hAnsiTheme="minorEastAsia" w:eastAsiaTheme="minorEastAsia"/>
                <w:color w:val="000000"/>
                <w:kern w:val="0"/>
                <w:sz w:val="18"/>
                <w:szCs w:val="18"/>
                <w:lang w:bidi="ar"/>
              </w:rPr>
              <w:t>G SS</w:t>
            </w:r>
            <w:r>
              <w:rPr>
                <w:rFonts w:cs="宋体" w:asciiTheme="minorEastAsia" w:hAnsiTheme="minorEastAsia" w:eastAsiaTheme="minorEastAsia"/>
                <w:color w:val="000000"/>
                <w:kern w:val="0"/>
                <w:sz w:val="18"/>
                <w:szCs w:val="18"/>
                <w:lang w:bidi="ar"/>
              </w:rPr>
              <w:t>D或者</w:t>
            </w:r>
            <w:r>
              <w:rPr>
                <w:rFonts w:hint="eastAsia" w:cs="宋体" w:asciiTheme="minorEastAsia" w:hAnsiTheme="minorEastAsia" w:eastAsiaTheme="minorEastAsia"/>
                <w:color w:val="000000"/>
                <w:kern w:val="0"/>
                <w:sz w:val="18"/>
                <w:szCs w:val="18"/>
                <w:lang w:bidi="ar"/>
              </w:rPr>
              <w:t>≥2块10</w:t>
            </w:r>
            <w:r>
              <w:rPr>
                <w:rFonts w:cs="宋体" w:asciiTheme="minorEastAsia" w:hAnsiTheme="minorEastAsia" w:eastAsiaTheme="minorEastAsia"/>
                <w:color w:val="000000"/>
                <w:kern w:val="0"/>
                <w:sz w:val="18"/>
                <w:szCs w:val="18"/>
                <w:lang w:bidi="ar"/>
              </w:rPr>
              <w:t>k 600G</w:t>
            </w:r>
            <w:r>
              <w:rPr>
                <w:rFonts w:hint="eastAsia" w:cs="宋体" w:asciiTheme="minorEastAsia" w:hAnsiTheme="minorEastAsia" w:eastAsiaTheme="minorEastAsia"/>
                <w:color w:val="000000"/>
                <w:kern w:val="0"/>
                <w:sz w:val="18"/>
                <w:szCs w:val="18"/>
                <w:lang w:bidi="ar"/>
              </w:rPr>
              <w:t>SAS</w:t>
            </w:r>
            <w:r>
              <w:rPr>
                <w:rFonts w:hint="eastAsia" w:cs="宋体" w:asciiTheme="minorEastAsia" w:hAnsiTheme="minorEastAsia" w:eastAsiaTheme="minorEastAsia"/>
                <w:kern w:val="0"/>
                <w:sz w:val="18"/>
                <w:szCs w:val="18"/>
                <w:lang w:bidi="ar"/>
              </w:rPr>
              <w:t>，≥3块960G SSD，9</w:t>
            </w:r>
            <w:r>
              <w:rPr>
                <w:rFonts w:hint="eastAsia" w:cs="宋体" w:asciiTheme="minorEastAsia" w:hAnsiTheme="minorEastAsia" w:eastAsiaTheme="minorEastAsia"/>
                <w:color w:val="000000"/>
                <w:kern w:val="0"/>
                <w:sz w:val="18"/>
                <w:szCs w:val="18"/>
                <w:lang w:bidi="ar"/>
              </w:rPr>
              <w:t>块8T 7200RPM SATA 硬盘，服务器≥12个SATA/SAS盘位。</w:t>
            </w:r>
          </w:p>
          <w:p>
            <w:pPr>
              <w:widowControl/>
              <w:spacing w:line="360" w:lineRule="auto"/>
              <w:textAlignment w:val="top"/>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6、</w:t>
            </w:r>
            <w:r>
              <w:rPr>
                <w:rFonts w:hint="eastAsia" w:cs="宋体" w:asciiTheme="minorEastAsia" w:hAnsiTheme="minorEastAsia" w:eastAsiaTheme="minorEastAsia"/>
                <w:kern w:val="0"/>
                <w:sz w:val="18"/>
                <w:szCs w:val="18"/>
                <w:lang w:bidi="ar"/>
              </w:rPr>
              <w:t>网口配置≥2个GE接口，≥</w:t>
            </w:r>
            <w:r>
              <w:rPr>
                <w:rFonts w:cs="宋体" w:asciiTheme="minorEastAsia" w:hAnsiTheme="minorEastAsia" w:eastAsiaTheme="minorEastAsia"/>
                <w:kern w:val="0"/>
                <w:sz w:val="18"/>
                <w:szCs w:val="18"/>
                <w:lang w:bidi="ar"/>
              </w:rPr>
              <w:t>6</w:t>
            </w:r>
            <w:r>
              <w:rPr>
                <w:rFonts w:hint="eastAsia" w:cs="宋体" w:asciiTheme="minorEastAsia" w:hAnsiTheme="minorEastAsia" w:eastAsiaTheme="minorEastAsia"/>
                <w:kern w:val="0"/>
                <w:sz w:val="18"/>
                <w:szCs w:val="18"/>
                <w:lang w:bidi="ar"/>
              </w:rPr>
              <w:t>个万兆光口（含万兆多摸模块）</w:t>
            </w:r>
            <w:r>
              <w:rPr>
                <w:rFonts w:hint="eastAsia" w:cs="宋体" w:asciiTheme="minorEastAsia" w:hAnsiTheme="minorEastAsia" w:eastAsiaTheme="minorEastAsia"/>
                <w:color w:val="000000"/>
                <w:kern w:val="0"/>
                <w:sz w:val="18"/>
                <w:szCs w:val="18"/>
                <w:lang w:bidi="ar"/>
              </w:rPr>
              <w:t>。</w:t>
            </w:r>
          </w:p>
          <w:p>
            <w:pPr>
              <w:widowControl/>
              <w:spacing w:line="360" w:lineRule="auto"/>
              <w:textAlignment w:val="top"/>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7、配置2个以上冗余电源。</w:t>
            </w:r>
          </w:p>
          <w:p>
            <w:pPr>
              <w:widowControl/>
              <w:spacing w:line="360" w:lineRule="auto"/>
              <w:textAlignment w:val="top"/>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8、满配热插拔冗余风扇、支持单风扇失效。</w:t>
            </w:r>
            <w:r>
              <w:rPr>
                <w:rFonts w:hint="eastAsia" w:cs="宋体" w:asciiTheme="minorEastAsia" w:hAnsiTheme="minorEastAsia" w:eastAsiaTheme="minorEastAsia"/>
                <w:color w:val="000000"/>
                <w:kern w:val="0"/>
                <w:sz w:val="18"/>
                <w:szCs w:val="18"/>
                <w:lang w:bidi="ar"/>
              </w:rPr>
              <w:br w:type="textWrapping"/>
            </w:r>
            <w:r>
              <w:rPr>
                <w:rFonts w:cs="宋体" w:asciiTheme="minorEastAsia" w:hAnsiTheme="minorEastAsia" w:eastAsiaTheme="minorEastAsia"/>
                <w:color w:val="000000" w:themeColor="text1"/>
                <w:kern w:val="0"/>
                <w:sz w:val="18"/>
                <w:szCs w:val="18"/>
                <w:lang w:bidi="ar"/>
                <w14:textFill>
                  <w14:solidFill>
                    <w14:schemeClr w14:val="tx1"/>
                  </w14:solidFill>
                </w14:textFill>
              </w:rPr>
              <w:t>9</w:t>
            </w:r>
            <w:r>
              <w:rPr>
                <w:rFonts w:hint="eastAsia" w:cs="宋体" w:asciiTheme="minorEastAsia" w:hAnsiTheme="minorEastAsia" w:eastAsiaTheme="minorEastAsia"/>
                <w:color w:val="000000" w:themeColor="text1"/>
                <w:kern w:val="0"/>
                <w:sz w:val="18"/>
                <w:szCs w:val="18"/>
                <w:lang w:bidi="ar"/>
                <w14:textFill>
                  <w14:solidFill>
                    <w14:schemeClr w14:val="tx1"/>
                  </w14:solidFill>
                </w14:textFill>
              </w:rPr>
              <w:t>、原厂商5年保修，提供原厂针对本项目的授权原件和售后服务承诺函原件。</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lang w:bidi="ar"/>
              </w:rPr>
              <w:t>6</w:t>
            </w:r>
            <w:r>
              <w:rPr>
                <w:rStyle w:val="50"/>
                <w:rFonts w:hint="default" w:asciiTheme="minorEastAsia" w:hAnsiTheme="minorEastAsia" w:eastAsiaTheme="minorEastAsia"/>
                <w:sz w:val="18"/>
                <w:szCs w:val="18"/>
                <w:lang w:bidi="ar"/>
              </w:rPr>
              <w:t>台</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kern w:val="0"/>
                <w:sz w:val="18"/>
                <w:szCs w:val="18"/>
                <w:lang w:bidi="ar"/>
              </w:rPr>
              <w:t>5</w:t>
            </w:r>
            <w:r>
              <w:rPr>
                <w:rFonts w:asciiTheme="minorEastAsia" w:hAnsiTheme="minorEastAsia" w:eastAsiaTheme="minorEastAsia"/>
                <w:color w:val="000000"/>
                <w:kern w:val="0"/>
                <w:sz w:val="18"/>
                <w:szCs w:val="18"/>
                <w:lang w:bidi="ar"/>
              </w:rPr>
              <w:t>年</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18"/>
                <w:szCs w:val="18"/>
              </w:rPr>
            </w:pPr>
          </w:p>
        </w:tc>
      </w:tr>
      <w:tr>
        <w:tblPrEx>
          <w:tblCellMar>
            <w:top w:w="15" w:type="dxa"/>
            <w:left w:w="15" w:type="dxa"/>
            <w:bottom w:w="15" w:type="dxa"/>
            <w:right w:w="15" w:type="dxa"/>
          </w:tblCellMar>
        </w:tblPrEx>
        <w:trPr>
          <w:trHeight w:val="90"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超融合</w:t>
            </w:r>
            <w:r>
              <w:rPr>
                <w:rFonts w:cs="宋体" w:asciiTheme="minorEastAsia" w:hAnsiTheme="minorEastAsia" w:eastAsiaTheme="minorEastAsia"/>
                <w:color w:val="000000"/>
                <w:kern w:val="0"/>
                <w:sz w:val="18"/>
                <w:szCs w:val="18"/>
                <w:lang w:bidi="ar"/>
              </w:rPr>
              <w:t>管理平台</w:t>
            </w:r>
          </w:p>
        </w:tc>
        <w:tc>
          <w:tcPr>
            <w:tcW w:w="53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1、超融合</w:t>
            </w:r>
            <w:r>
              <w:rPr>
                <w:rFonts w:cs="宋体" w:asciiTheme="minorEastAsia" w:hAnsiTheme="minorEastAsia" w:eastAsiaTheme="minorEastAsia"/>
                <w:color w:val="000000"/>
                <w:kern w:val="0"/>
                <w:sz w:val="18"/>
                <w:szCs w:val="18"/>
                <w:lang w:bidi="ar"/>
              </w:rPr>
              <w:t>管理平台、</w:t>
            </w:r>
            <w:r>
              <w:rPr>
                <w:rFonts w:hint="eastAsia" w:cs="宋体" w:asciiTheme="minorEastAsia" w:hAnsiTheme="minorEastAsia" w:eastAsiaTheme="minorEastAsia"/>
                <w:color w:val="000000"/>
                <w:kern w:val="0"/>
                <w:sz w:val="18"/>
                <w:szCs w:val="18"/>
                <w:lang w:bidi="ar"/>
              </w:rPr>
              <w:t>服务器虚拟化、存储虚拟化、网络虚拟化、服务器均为同一品牌，以保障平台的扩展性和兼容性，投标单位需提供承诺函并加盖公章。</w:t>
            </w:r>
          </w:p>
          <w:p>
            <w:pPr>
              <w:widowControl/>
              <w:spacing w:line="360" w:lineRule="auto"/>
              <w:textAlignment w:val="top"/>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2、在统一的超融合管理平台上，</w:t>
            </w:r>
            <w:r>
              <w:rPr>
                <w:rFonts w:hint="eastAsia" w:cs="宋体" w:asciiTheme="minorEastAsia" w:hAnsiTheme="minorEastAsia" w:eastAsiaTheme="minorEastAsia"/>
                <w:kern w:val="0"/>
                <w:sz w:val="18"/>
                <w:szCs w:val="18"/>
                <w:lang w:bidi="ar"/>
              </w:rPr>
              <w:t>能够实现对计算、存储、网络、安全等资源的统一管理运维，能够在线申请审批虚拟机（可设置提供申请虚拟机模板），简化运</w:t>
            </w:r>
            <w:r>
              <w:rPr>
                <w:rFonts w:hint="eastAsia" w:cs="宋体" w:asciiTheme="minorEastAsia" w:hAnsiTheme="minorEastAsia" w:eastAsiaTheme="minorEastAsia"/>
                <w:color w:val="000000"/>
                <w:kern w:val="0"/>
                <w:sz w:val="18"/>
                <w:szCs w:val="18"/>
                <w:lang w:bidi="ar"/>
              </w:rPr>
              <w:t>维工作，降低运维成本。</w:t>
            </w:r>
          </w:p>
          <w:p>
            <w:pPr>
              <w:widowControl/>
              <w:spacing w:line="360" w:lineRule="auto"/>
              <w:textAlignment w:val="top"/>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3、虚拟化管理系统节点提供主备冗余方式确保平台的可用性。</w:t>
            </w:r>
          </w:p>
          <w:p>
            <w:pPr>
              <w:widowControl/>
              <w:spacing w:line="360" w:lineRule="auto"/>
              <w:textAlignment w:val="top"/>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4、支持健康巡检功能，用于快速查看超融合系统健康情况。包括：总体健康状况、集群健康状况、存储健康状况、网络健康状况、告警信息状况和其它配置信息，可自定义检测项。</w:t>
            </w:r>
          </w:p>
          <w:p>
            <w:pPr>
              <w:widowControl/>
              <w:spacing w:line="360" w:lineRule="auto"/>
              <w:textAlignment w:val="top"/>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5、支持一键切换展示大屏功能，直观展示虚拟化资源池的健康度、告警、资源使用情况等。</w:t>
            </w:r>
          </w:p>
          <w:p>
            <w:pPr>
              <w:widowControl/>
              <w:spacing w:line="360" w:lineRule="auto"/>
              <w:textAlignment w:val="top"/>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6、支持使用一键鼠标按钮分析后端存储上的无效镜像文件，并提供一键清理和释放存储空间能力。</w:t>
            </w:r>
          </w:p>
          <w:p>
            <w:pPr>
              <w:widowControl/>
              <w:spacing w:line="360" w:lineRule="auto"/>
              <w:textAlignment w:val="top"/>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7、支持使用一键鼠标按钮还原虚拟机到指定还原点状态，基于备份功能，虚机误删不影响还原功能。</w:t>
            </w:r>
          </w:p>
          <w:p>
            <w:pPr>
              <w:pStyle w:val="46"/>
              <w:widowControl/>
              <w:spacing w:line="360" w:lineRule="auto"/>
              <w:ind w:firstLine="0" w:firstLineChars="0"/>
              <w:textAlignment w:val="top"/>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8、支持使用一键鼠标按钮快速查看、启动、删除、批量启动和批量删除长时间未使用且处于关闭状态的虚拟机</w:t>
            </w:r>
            <w:r>
              <w:rPr>
                <w:rFonts w:cs="宋体" w:asciiTheme="minorEastAsia" w:hAnsiTheme="minorEastAsia" w:eastAsiaTheme="minorEastAsia"/>
                <w:color w:val="000000"/>
                <w:kern w:val="0"/>
                <w:sz w:val="18"/>
                <w:szCs w:val="18"/>
                <w:lang w:bidi="ar"/>
              </w:rPr>
              <w:t>。</w:t>
            </w:r>
          </w:p>
          <w:p>
            <w:pPr>
              <w:pStyle w:val="46"/>
              <w:widowControl/>
              <w:spacing w:line="360" w:lineRule="auto"/>
              <w:ind w:firstLine="0" w:firstLineChars="0"/>
              <w:textAlignment w:val="top"/>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9、可视化实时监控中心，超融合整体软硬件故障问题，可视化实时监控中心从硬件可靠性、系统可靠性、服务可靠性三大层面进行实时监控、分层展示，运维人员可以直观查看集群的整体运行情况，可以快速诊断集群的健康状态；同时支持对无需关注的检测异常启用屏蔽功能，启用屏蔽功能的检测异常将不会上报显示。</w:t>
            </w:r>
          </w:p>
          <w:p>
            <w:pPr>
              <w:pStyle w:val="46"/>
              <w:widowControl/>
              <w:spacing w:line="360" w:lineRule="auto"/>
              <w:ind w:firstLine="0" w:firstLineChars="0"/>
              <w:textAlignment w:val="top"/>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10、支持对整个平台虚拟设备实现统一的管理，虚拟化 WEB 管理平台可以完成网络拓扑的构建，完成各类虚拟设备的自助逻辑编排，支持在管理平台上连接、开启、关闭各类虚拟设备，拓扑呈现业务流量信息，所画即所得，方便运维管理。</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Theme="minorEastAsia" w:hAnsiTheme="minorEastAsia" w:eastAsiaTheme="minorEastAsia"/>
                <w:color w:val="000000"/>
                <w:kern w:val="0"/>
                <w:sz w:val="18"/>
                <w:szCs w:val="18"/>
                <w:lang w:bidi="ar"/>
              </w:rPr>
            </w:pPr>
            <w:r>
              <w:rPr>
                <w:rFonts w:hint="eastAsia" w:asciiTheme="minorEastAsia" w:hAnsiTheme="minorEastAsia" w:eastAsiaTheme="minorEastAsia"/>
                <w:color w:val="000000"/>
                <w:kern w:val="0"/>
                <w:sz w:val="18"/>
                <w:szCs w:val="18"/>
                <w:lang w:bidi="ar"/>
              </w:rPr>
              <w:t>1</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Theme="minorEastAsia" w:hAnsiTheme="minorEastAsia" w:eastAsiaTheme="minorEastAsia"/>
                <w:color w:val="000000"/>
                <w:kern w:val="0"/>
                <w:sz w:val="18"/>
                <w:szCs w:val="18"/>
                <w:lang w:bidi="ar"/>
              </w:rPr>
            </w:pPr>
            <w:r>
              <w:rPr>
                <w:rFonts w:hint="eastAsia" w:asciiTheme="minorEastAsia" w:hAnsiTheme="minorEastAsia" w:eastAsiaTheme="minorEastAsia"/>
                <w:color w:val="000000"/>
                <w:kern w:val="0"/>
                <w:sz w:val="18"/>
                <w:szCs w:val="18"/>
                <w:lang w:bidi="ar"/>
              </w:rPr>
              <w:t>3</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原厂3年维保，中标厂商提供2年技术支持</w:t>
            </w:r>
          </w:p>
        </w:tc>
      </w:tr>
      <w:tr>
        <w:tblPrEx>
          <w:tblCellMar>
            <w:top w:w="15" w:type="dxa"/>
            <w:left w:w="15" w:type="dxa"/>
            <w:bottom w:w="15" w:type="dxa"/>
            <w:right w:w="15" w:type="dxa"/>
          </w:tblCellMar>
        </w:tblPrEx>
        <w:trPr>
          <w:trHeight w:val="11098"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r>
              <w:rPr>
                <w:rFonts w:cs="宋体" w:asciiTheme="minorEastAsia" w:hAnsiTheme="minorEastAsia" w:eastAsiaTheme="minorEastAsia"/>
                <w:color w:val="000000"/>
                <w:kern w:val="0"/>
                <w:sz w:val="18"/>
                <w:szCs w:val="18"/>
                <w:lang w:bidi="ar"/>
              </w:rPr>
              <w:t>1</w:t>
            </w:r>
            <w:r>
              <w:rPr>
                <w:rFonts w:hint="eastAsia" w:cs="宋体" w:asciiTheme="minorEastAsia" w:hAnsiTheme="minorEastAsia" w:eastAsiaTheme="minorEastAsia"/>
                <w:color w:val="000000"/>
                <w:kern w:val="0"/>
                <w:sz w:val="18"/>
                <w:szCs w:val="18"/>
                <w:lang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服务器</w:t>
            </w:r>
          </w:p>
          <w:p>
            <w:pPr>
              <w:widowControl/>
              <w:spacing w:line="360" w:lineRule="auto"/>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虚拟化</w:t>
            </w:r>
          </w:p>
        </w:tc>
        <w:tc>
          <w:tcPr>
            <w:tcW w:w="53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1、服务器虚拟化、存储虚拟化、网络虚拟化、服务器均为同一品牌，以保障平台的扩展性和兼容性，投标单位需提供承诺函并加盖公章。</w:t>
            </w:r>
          </w:p>
          <w:p>
            <w:pPr>
              <w:widowControl/>
              <w:spacing w:line="360" w:lineRule="auto"/>
              <w:textAlignment w:val="top"/>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2、虚拟机可以实现物理机的全部功能，如具有自己的资源（内存、CPU、网卡、存储），可以指定单独的MAC地址等。</w:t>
            </w:r>
          </w:p>
          <w:p>
            <w:pPr>
              <w:widowControl/>
              <w:spacing w:line="360" w:lineRule="auto"/>
              <w:textAlignment w:val="top"/>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3、在超融合管理平台管理界面上提供虚拟机启动、暂停、恢复、休眠、重启、关闭、克隆、迁移、删除、快照等功能的批量操作。</w:t>
            </w:r>
          </w:p>
          <w:p>
            <w:pPr>
              <w:widowControl/>
              <w:spacing w:line="360" w:lineRule="auto"/>
              <w:textAlignment w:val="top"/>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4、支持虚拟机的HA功能。当物理服务器发生故障时，该物理服务器上的所有虚拟机，可以在集群之内的其它物理服务器上重新启动，保障业务连续性。</w:t>
            </w:r>
          </w:p>
          <w:p>
            <w:pPr>
              <w:widowControl/>
              <w:spacing w:line="360" w:lineRule="auto"/>
              <w:textAlignment w:val="top"/>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5、采用分布式管理架构，去中心化，管理平台不依赖于某一个虚拟机或物理机部署，采用分布式架构保障平台更可靠。</w:t>
            </w:r>
          </w:p>
          <w:p>
            <w:pPr>
              <w:widowControl/>
              <w:spacing w:line="360" w:lineRule="auto"/>
              <w:textAlignment w:val="top"/>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6、每个虚拟机都可以安装独立的操作系统，为获得良好的兼容性，操作系统支持需要包括Windows、Linux，并且支持国产操作系统包括：红旗Linux、中标麒麟、中标普华等。</w:t>
            </w:r>
          </w:p>
          <w:p>
            <w:pPr>
              <w:widowControl/>
              <w:spacing w:line="360" w:lineRule="auto"/>
              <w:textAlignment w:val="top"/>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7、支持配置内存回收机制，实现虚拟化平台内存资源的动态复用，保障虚拟机的性能。</w:t>
            </w:r>
          </w:p>
          <w:p>
            <w:pPr>
              <w:widowControl/>
              <w:spacing w:line="360" w:lineRule="auto"/>
              <w:textAlignment w:val="top"/>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8、支持平台中的集群资源环境一键检测，对硬件健康、平台底层的虚拟化的运行状态和配置，进行多个维度进行检查，提供快速定位问题功能，确保系统最佳状态。</w:t>
            </w:r>
          </w:p>
          <w:p>
            <w:pPr>
              <w:widowControl/>
              <w:spacing w:line="360" w:lineRule="auto"/>
              <w:textAlignment w:val="top"/>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9、支持对服务器硬件资源进行监控，可以对CPU，内存，网卡，硬盘，存储，RAID等硬件进行健康检测，能够发现问题并提供修复指导建议。</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lang w:bidi="ar"/>
              </w:rPr>
              <w:t>1</w:t>
            </w:r>
            <w:r>
              <w:rPr>
                <w:rStyle w:val="50"/>
                <w:rFonts w:hint="default" w:asciiTheme="minorEastAsia" w:hAnsiTheme="minorEastAsia" w:eastAsiaTheme="minorEastAsia"/>
                <w:sz w:val="18"/>
                <w:szCs w:val="18"/>
                <w:lang w:bidi="ar"/>
              </w:rPr>
              <w:t>套</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kern w:val="0"/>
                <w:sz w:val="18"/>
                <w:szCs w:val="18"/>
                <w:lang w:bidi="ar"/>
              </w:rPr>
              <w:t>3</w:t>
            </w:r>
            <w:r>
              <w:rPr>
                <w:rFonts w:asciiTheme="minorEastAsia" w:hAnsiTheme="minorEastAsia" w:eastAsiaTheme="minorEastAsia"/>
                <w:color w:val="000000"/>
                <w:kern w:val="0"/>
                <w:sz w:val="18"/>
                <w:szCs w:val="18"/>
                <w:lang w:bidi="ar"/>
              </w:rPr>
              <w:t>年</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原厂3年维保，中标厂商提供2年技术支持</w:t>
            </w:r>
          </w:p>
        </w:tc>
      </w:tr>
      <w:tr>
        <w:tblPrEx>
          <w:tblCellMar>
            <w:top w:w="15" w:type="dxa"/>
            <w:left w:w="15" w:type="dxa"/>
            <w:bottom w:w="15" w:type="dxa"/>
            <w:right w:w="15" w:type="dxa"/>
          </w:tblCellMar>
        </w:tblPrEx>
        <w:trPr>
          <w:trHeight w:val="4228"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w:t>
            </w:r>
            <w:r>
              <w:rPr>
                <w:rFonts w:cs="宋体" w:asciiTheme="minorEastAsia" w:hAnsiTheme="minorEastAsia" w:eastAsiaTheme="minorEastAsia"/>
                <w:color w:val="000000"/>
                <w:kern w:val="0"/>
                <w:sz w:val="18"/>
                <w:szCs w:val="18"/>
                <w:lang w:bidi="ar"/>
              </w:rPr>
              <w:t>2</w:t>
            </w:r>
            <w:r>
              <w:rPr>
                <w:rFonts w:hint="eastAsia" w:cs="宋体" w:asciiTheme="minorEastAsia" w:hAnsiTheme="minorEastAsia" w:eastAsiaTheme="minorEastAsia"/>
                <w:color w:val="000000"/>
                <w:kern w:val="0"/>
                <w:sz w:val="18"/>
                <w:szCs w:val="18"/>
                <w:lang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存储</w:t>
            </w:r>
          </w:p>
          <w:p>
            <w:pPr>
              <w:widowControl/>
              <w:spacing w:line="360" w:lineRule="auto"/>
              <w:jc w:val="center"/>
              <w:textAlignment w:val="center"/>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虚拟化</w:t>
            </w:r>
          </w:p>
        </w:tc>
        <w:tc>
          <w:tcPr>
            <w:tcW w:w="53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1、采用分布式架构设计，由多台物理服务器组成分布式存储集群，通过新增物理服务器可以实现存储容量和性能的横向扩展，扩容过程保证业务零中断，保证平台稳定性非OEM软件产品。</w:t>
            </w:r>
          </w:p>
          <w:p>
            <w:pPr>
              <w:widowControl/>
              <w:spacing w:line="360" w:lineRule="auto"/>
              <w:textAlignment w:val="top"/>
              <w:rPr>
                <w:rFonts w:cs="宋体" w:asciiTheme="minorEastAsia" w:hAnsiTheme="minorEastAsia" w:eastAsiaTheme="minorEastAsia"/>
                <w:color w:val="000000"/>
                <w:kern w:val="0"/>
                <w:sz w:val="18"/>
                <w:szCs w:val="18"/>
                <w:lang w:bidi="ar"/>
              </w:rPr>
            </w:pPr>
            <w:r>
              <w:rPr>
                <w:rFonts w:cs="宋体" w:asciiTheme="minorEastAsia" w:hAnsiTheme="minorEastAsia" w:eastAsiaTheme="minorEastAsia"/>
                <w:color w:val="000000"/>
                <w:kern w:val="0"/>
                <w:sz w:val="18"/>
                <w:szCs w:val="18"/>
                <w:lang w:bidi="ar"/>
              </w:rPr>
              <w:t>2</w:t>
            </w:r>
            <w:r>
              <w:rPr>
                <w:rFonts w:hint="eastAsia" w:cs="宋体" w:asciiTheme="minorEastAsia" w:hAnsiTheme="minorEastAsia" w:eastAsiaTheme="minorEastAsia"/>
                <w:color w:val="000000"/>
                <w:kern w:val="0"/>
                <w:sz w:val="18"/>
                <w:szCs w:val="18"/>
                <w:lang w:bidi="ar"/>
              </w:rPr>
              <w:t>、支持磁盘坏道检测功能，虚拟存储集群可以对数据盘进行坏道检测，发现坏道后可自动从另外一个副本读取数据，并对坏道数据进行修复。</w:t>
            </w:r>
          </w:p>
          <w:p>
            <w:pPr>
              <w:widowControl/>
              <w:spacing w:line="360" w:lineRule="auto"/>
              <w:textAlignment w:val="top"/>
              <w:rPr>
                <w:rFonts w:cs="宋体" w:asciiTheme="minorEastAsia" w:hAnsiTheme="minorEastAsia" w:eastAsiaTheme="minorEastAsia"/>
                <w:color w:val="000000"/>
                <w:kern w:val="0"/>
                <w:sz w:val="18"/>
                <w:szCs w:val="18"/>
                <w:lang w:bidi="ar"/>
              </w:rPr>
            </w:pPr>
            <w:r>
              <w:rPr>
                <w:rFonts w:cs="宋体" w:asciiTheme="minorEastAsia" w:hAnsiTheme="minorEastAsia" w:eastAsiaTheme="minorEastAsia"/>
                <w:color w:val="000000"/>
                <w:kern w:val="0"/>
                <w:sz w:val="18"/>
                <w:szCs w:val="18"/>
                <w:lang w:bidi="ar"/>
              </w:rPr>
              <w:t>3</w:t>
            </w:r>
            <w:r>
              <w:rPr>
                <w:rFonts w:hint="eastAsia" w:cs="宋体" w:asciiTheme="minorEastAsia" w:hAnsiTheme="minorEastAsia" w:eastAsiaTheme="minorEastAsia"/>
                <w:color w:val="000000"/>
                <w:kern w:val="0"/>
                <w:sz w:val="18"/>
                <w:szCs w:val="18"/>
                <w:lang w:bidi="ar"/>
              </w:rPr>
              <w:t>、支持存储分卷功能，虚拟存储可以划分不同的存储卷，以物理主机为单位，如全闪存卷，高性能存储卷，大容量存储卷等，从而将不同需求的业务运行在不同的虚拟存储卷上。</w:t>
            </w:r>
          </w:p>
          <w:p>
            <w:pPr>
              <w:widowControl/>
              <w:spacing w:line="360" w:lineRule="auto"/>
              <w:textAlignment w:val="top"/>
              <w:rPr>
                <w:rFonts w:cs="宋体" w:asciiTheme="minorEastAsia" w:hAnsiTheme="minorEastAsia" w:eastAsiaTheme="minorEastAsia"/>
                <w:color w:val="000000"/>
                <w:kern w:val="0"/>
                <w:sz w:val="18"/>
                <w:szCs w:val="18"/>
                <w:lang w:bidi="ar"/>
              </w:rPr>
            </w:pPr>
            <w:r>
              <w:rPr>
                <w:rFonts w:cs="宋体" w:asciiTheme="minorEastAsia" w:hAnsiTheme="minorEastAsia" w:eastAsiaTheme="minorEastAsia"/>
                <w:color w:val="000000"/>
                <w:kern w:val="0"/>
                <w:sz w:val="18"/>
                <w:szCs w:val="18"/>
                <w:lang w:bidi="ar"/>
              </w:rPr>
              <w:t>4</w:t>
            </w:r>
            <w:r>
              <w:rPr>
                <w:rFonts w:hint="eastAsia" w:cs="宋体" w:asciiTheme="minorEastAsia" w:hAnsiTheme="minorEastAsia" w:eastAsiaTheme="minorEastAsia"/>
                <w:color w:val="000000"/>
                <w:kern w:val="0"/>
                <w:sz w:val="18"/>
                <w:szCs w:val="18"/>
                <w:lang w:bidi="ar"/>
              </w:rPr>
              <w:t>、支持数据安全恢复机制，当主机或者磁盘故障后，自动利用集群内空闲磁盘空间，将故障数据重新恢复，并保证副本数量，确保用户数据的可靠性和安全性。</w:t>
            </w:r>
          </w:p>
          <w:p>
            <w:pPr>
              <w:widowControl/>
              <w:spacing w:line="360" w:lineRule="auto"/>
              <w:textAlignment w:val="top"/>
              <w:rPr>
                <w:rFonts w:cs="宋体" w:asciiTheme="minorEastAsia" w:hAnsiTheme="minorEastAsia" w:eastAsiaTheme="minorEastAsia"/>
                <w:color w:val="000000"/>
                <w:kern w:val="0"/>
                <w:sz w:val="18"/>
                <w:szCs w:val="18"/>
                <w:lang w:bidi="ar"/>
              </w:rPr>
            </w:pPr>
            <w:r>
              <w:rPr>
                <w:rFonts w:cs="宋体" w:asciiTheme="minorEastAsia" w:hAnsiTheme="minorEastAsia" w:eastAsiaTheme="minorEastAsia"/>
                <w:color w:val="000000"/>
                <w:kern w:val="0"/>
                <w:sz w:val="18"/>
                <w:szCs w:val="18"/>
                <w:lang w:bidi="ar"/>
              </w:rPr>
              <w:t>5</w:t>
            </w:r>
            <w:r>
              <w:rPr>
                <w:rFonts w:hint="eastAsia" w:cs="宋体" w:asciiTheme="minorEastAsia" w:hAnsiTheme="minorEastAsia" w:eastAsiaTheme="minorEastAsia"/>
                <w:color w:val="000000"/>
                <w:kern w:val="0"/>
                <w:sz w:val="18"/>
                <w:szCs w:val="18"/>
                <w:lang w:bidi="ar"/>
              </w:rPr>
              <w:t>、支持针对虚拟机或虚拟磁盘设置数据分布策略，当采用副本聚合策略时，可以保证以性能优先为原则，实现IO本地读效果，当采用副本散列策略时，可以保证虚拟机以分布均匀优先为原则，打散分布均匀在各物理主机上。</w:t>
            </w:r>
          </w:p>
          <w:p>
            <w:pPr>
              <w:widowControl/>
              <w:spacing w:line="360" w:lineRule="auto"/>
              <w:textAlignment w:val="top"/>
              <w:rPr>
                <w:rFonts w:cs="宋体" w:asciiTheme="minorEastAsia" w:hAnsiTheme="minorEastAsia" w:eastAsiaTheme="minorEastAsia"/>
                <w:color w:val="000000"/>
                <w:kern w:val="0"/>
                <w:sz w:val="18"/>
                <w:szCs w:val="18"/>
                <w:lang w:bidi="ar"/>
              </w:rPr>
            </w:pPr>
            <w:r>
              <w:rPr>
                <w:rFonts w:cs="宋体" w:asciiTheme="minorEastAsia" w:hAnsiTheme="minorEastAsia" w:eastAsiaTheme="minorEastAsia"/>
                <w:color w:val="000000"/>
                <w:kern w:val="0"/>
                <w:sz w:val="18"/>
                <w:szCs w:val="18"/>
                <w:lang w:bidi="ar"/>
              </w:rPr>
              <w:t>6</w:t>
            </w:r>
            <w:r>
              <w:rPr>
                <w:rFonts w:hint="eastAsia" w:cs="宋体" w:asciiTheme="minorEastAsia" w:hAnsiTheme="minorEastAsia" w:eastAsiaTheme="minorEastAsia"/>
                <w:color w:val="000000"/>
                <w:kern w:val="0"/>
                <w:sz w:val="18"/>
                <w:szCs w:val="18"/>
                <w:lang w:bidi="ar"/>
              </w:rPr>
              <w:t>、支持坏道修复功能，发现坏道后，主动修复坏道区域的数据，及时恢复数据副本的冗余性。当硬盘的坏道数过多，系统能自动将该盘的数据迁移至其他健康的硬盘上，保障数据的安全。</w:t>
            </w:r>
          </w:p>
          <w:p>
            <w:pPr>
              <w:widowControl/>
              <w:spacing w:line="360" w:lineRule="auto"/>
              <w:textAlignment w:val="top"/>
              <w:rPr>
                <w:rFonts w:cs="宋体" w:asciiTheme="minorEastAsia" w:hAnsiTheme="minorEastAsia" w:eastAsiaTheme="minorEastAsia"/>
                <w:color w:val="000000"/>
                <w:kern w:val="0"/>
                <w:sz w:val="18"/>
                <w:szCs w:val="18"/>
                <w:lang w:bidi="ar"/>
              </w:rPr>
            </w:pPr>
            <w:r>
              <w:rPr>
                <w:rFonts w:cs="宋体" w:asciiTheme="minorEastAsia" w:hAnsiTheme="minorEastAsia" w:eastAsiaTheme="minorEastAsia"/>
                <w:color w:val="000000"/>
                <w:kern w:val="0"/>
                <w:sz w:val="18"/>
                <w:szCs w:val="18"/>
                <w:lang w:bidi="ar"/>
              </w:rPr>
              <w:t>7</w:t>
            </w:r>
            <w:r>
              <w:rPr>
                <w:rFonts w:hint="eastAsia" w:cs="宋体" w:asciiTheme="minorEastAsia" w:hAnsiTheme="minorEastAsia" w:eastAsiaTheme="minorEastAsia"/>
                <w:color w:val="000000"/>
                <w:kern w:val="0"/>
                <w:sz w:val="18"/>
                <w:szCs w:val="18"/>
                <w:lang w:bidi="ar"/>
              </w:rPr>
              <w:t>、支持数据重建中不影响生产业务性能，能够对数据重建的速度进行智能限速，避免数据重建过程中IO性能占用导致对业务的性能造成影响。</w:t>
            </w:r>
          </w:p>
          <w:p>
            <w:pPr>
              <w:widowControl/>
              <w:spacing w:line="360" w:lineRule="auto"/>
              <w:textAlignment w:val="top"/>
              <w:rPr>
                <w:rFonts w:cs="宋体" w:asciiTheme="minorEastAsia" w:hAnsiTheme="minorEastAsia" w:eastAsiaTheme="minorEastAsia"/>
                <w:color w:val="000000"/>
                <w:kern w:val="0"/>
                <w:sz w:val="18"/>
                <w:szCs w:val="18"/>
                <w:lang w:bidi="ar"/>
              </w:rPr>
            </w:pPr>
            <w:r>
              <w:rPr>
                <w:rFonts w:cs="宋体" w:asciiTheme="minorEastAsia" w:hAnsiTheme="minorEastAsia" w:eastAsiaTheme="minorEastAsia"/>
                <w:color w:val="000000"/>
                <w:kern w:val="0"/>
                <w:sz w:val="18"/>
                <w:szCs w:val="18"/>
                <w:lang w:bidi="ar"/>
              </w:rPr>
              <w:t>8</w:t>
            </w:r>
            <w:r>
              <w:rPr>
                <w:rFonts w:hint="eastAsia" w:cs="宋体" w:asciiTheme="minorEastAsia" w:hAnsiTheme="minorEastAsia" w:eastAsiaTheme="minorEastAsia"/>
                <w:color w:val="000000"/>
                <w:kern w:val="0"/>
                <w:sz w:val="18"/>
                <w:szCs w:val="18"/>
                <w:lang w:bidi="ar"/>
              </w:rPr>
              <w:t>、在可视化的WEB管理平台上，可以查看虚拟分布式存储对应的容量大小、容量使用率、实时的IOPS读写次数、IOPS读写数据量等信息，方便为IT管理做为有效的决策依据。</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Theme="minorEastAsia" w:hAnsiTheme="minorEastAsia" w:eastAsiaTheme="minorEastAsia"/>
                <w:color w:val="000000"/>
                <w:kern w:val="0"/>
                <w:sz w:val="18"/>
                <w:szCs w:val="18"/>
                <w:lang w:bidi="ar"/>
              </w:rPr>
            </w:pPr>
            <w:r>
              <w:rPr>
                <w:rFonts w:asciiTheme="minorEastAsia" w:hAnsiTheme="minorEastAsia" w:eastAsiaTheme="minorEastAsia"/>
                <w:color w:val="000000"/>
                <w:kern w:val="0"/>
                <w:sz w:val="18"/>
                <w:szCs w:val="18"/>
                <w:lang w:bidi="ar"/>
              </w:rPr>
              <w:t>1</w:t>
            </w:r>
            <w:r>
              <w:rPr>
                <w:rStyle w:val="50"/>
                <w:rFonts w:hint="default" w:asciiTheme="minorEastAsia" w:hAnsiTheme="minorEastAsia" w:eastAsiaTheme="minorEastAsia"/>
                <w:sz w:val="18"/>
                <w:szCs w:val="18"/>
                <w:lang w:bidi="ar"/>
              </w:rPr>
              <w:t>套</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Theme="minorEastAsia" w:hAnsiTheme="minorEastAsia" w:eastAsiaTheme="minorEastAsia"/>
                <w:color w:val="000000"/>
                <w:kern w:val="0"/>
                <w:sz w:val="18"/>
                <w:szCs w:val="18"/>
                <w:lang w:bidi="ar"/>
              </w:rPr>
            </w:pPr>
            <w:r>
              <w:rPr>
                <w:rFonts w:hint="eastAsia" w:asciiTheme="minorEastAsia" w:hAnsiTheme="minorEastAsia" w:eastAsiaTheme="minorEastAsia"/>
                <w:color w:val="000000"/>
                <w:kern w:val="0"/>
                <w:sz w:val="18"/>
                <w:szCs w:val="18"/>
                <w:lang w:bidi="ar"/>
              </w:rPr>
              <w:t>3</w:t>
            </w:r>
            <w:r>
              <w:rPr>
                <w:rFonts w:asciiTheme="minorEastAsia" w:hAnsiTheme="minorEastAsia" w:eastAsiaTheme="minorEastAsia"/>
                <w:color w:val="000000"/>
                <w:kern w:val="0"/>
                <w:sz w:val="18"/>
                <w:szCs w:val="18"/>
                <w:lang w:bidi="ar"/>
              </w:rPr>
              <w:t>年</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原厂3年维保，中标厂商提供2年技术支持</w:t>
            </w:r>
          </w:p>
        </w:tc>
      </w:tr>
      <w:tr>
        <w:tblPrEx>
          <w:tblCellMar>
            <w:top w:w="15" w:type="dxa"/>
            <w:left w:w="15" w:type="dxa"/>
            <w:bottom w:w="15" w:type="dxa"/>
            <w:right w:w="15" w:type="dxa"/>
          </w:tblCellMar>
        </w:tblPrEx>
        <w:trPr>
          <w:trHeight w:val="4858"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w:t>
            </w:r>
            <w:r>
              <w:rPr>
                <w:rFonts w:cs="宋体" w:asciiTheme="minorEastAsia" w:hAnsiTheme="minorEastAsia" w:eastAsiaTheme="minorEastAsia"/>
                <w:color w:val="000000"/>
                <w:kern w:val="0"/>
                <w:sz w:val="18"/>
                <w:szCs w:val="18"/>
                <w:lang w:bidi="ar"/>
              </w:rPr>
              <w:t>3</w:t>
            </w:r>
            <w:r>
              <w:rPr>
                <w:rFonts w:hint="eastAsia" w:cs="宋体" w:asciiTheme="minorEastAsia" w:hAnsiTheme="minorEastAsia" w:eastAsiaTheme="minorEastAsia"/>
                <w:color w:val="000000"/>
                <w:kern w:val="0"/>
                <w:sz w:val="18"/>
                <w:szCs w:val="18"/>
                <w:lang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网络</w:t>
            </w:r>
          </w:p>
          <w:p>
            <w:pPr>
              <w:widowControl/>
              <w:spacing w:line="360" w:lineRule="auto"/>
              <w:jc w:val="center"/>
              <w:textAlignment w:val="center"/>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虚拟化</w:t>
            </w:r>
          </w:p>
        </w:tc>
        <w:tc>
          <w:tcPr>
            <w:tcW w:w="53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1、本次项目需提供网络虚拟化所需授权。</w:t>
            </w:r>
          </w:p>
          <w:p>
            <w:pPr>
              <w:widowControl/>
              <w:spacing w:line="360" w:lineRule="auto"/>
              <w:textAlignment w:val="top"/>
              <w:rPr>
                <w:rFonts w:cs="宋体" w:asciiTheme="minorEastAsia" w:hAnsiTheme="minorEastAsia" w:eastAsiaTheme="minorEastAsia"/>
                <w:color w:val="000000"/>
                <w:kern w:val="0"/>
                <w:sz w:val="18"/>
                <w:szCs w:val="18"/>
                <w:lang w:bidi="ar"/>
              </w:rPr>
            </w:pPr>
            <w:r>
              <w:rPr>
                <w:rFonts w:cs="宋体" w:asciiTheme="minorEastAsia" w:hAnsiTheme="minorEastAsia" w:eastAsiaTheme="minorEastAsia"/>
                <w:color w:val="000000"/>
                <w:kern w:val="0"/>
                <w:sz w:val="18"/>
                <w:szCs w:val="18"/>
                <w:lang w:bidi="ar"/>
              </w:rPr>
              <w:t>2</w:t>
            </w:r>
            <w:r>
              <w:rPr>
                <w:rFonts w:hint="eastAsia" w:cs="宋体" w:asciiTheme="minorEastAsia" w:hAnsiTheme="minorEastAsia" w:eastAsiaTheme="minorEastAsia"/>
                <w:color w:val="000000"/>
                <w:kern w:val="0"/>
                <w:sz w:val="18"/>
                <w:szCs w:val="18"/>
                <w:lang w:bidi="ar"/>
              </w:rPr>
              <w:t>、在管理平台上可以完成网络拓扑的构建，快速的实现整个业务逻辑，并且可以连接、开启、关闭虚拟网络设备，支持对整个平台虚拟设备实现统一的管理，提升运维管理的工作效率。</w:t>
            </w:r>
          </w:p>
          <w:p>
            <w:pPr>
              <w:widowControl/>
              <w:spacing w:line="360" w:lineRule="auto"/>
              <w:textAlignment w:val="top"/>
              <w:rPr>
                <w:rFonts w:cs="宋体" w:asciiTheme="minorEastAsia" w:hAnsiTheme="minorEastAsia" w:eastAsiaTheme="minorEastAsia"/>
                <w:color w:val="000000" w:themeColor="text1"/>
                <w:kern w:val="0"/>
                <w:sz w:val="18"/>
                <w:szCs w:val="18"/>
                <w:lang w:bidi="ar"/>
                <w14:textFill>
                  <w14:solidFill>
                    <w14:schemeClr w14:val="tx1"/>
                  </w14:solidFill>
                </w14:textFill>
              </w:rPr>
            </w:pPr>
            <w:r>
              <w:rPr>
                <w:rFonts w:cs="宋体" w:asciiTheme="minorEastAsia" w:hAnsiTheme="minorEastAsia" w:eastAsiaTheme="minorEastAsia"/>
                <w:color w:val="000000" w:themeColor="text1"/>
                <w:kern w:val="0"/>
                <w:sz w:val="18"/>
                <w:szCs w:val="18"/>
                <w:lang w:bidi="ar"/>
                <w14:textFill>
                  <w14:solidFill>
                    <w14:schemeClr w14:val="tx1"/>
                  </w14:solidFill>
                </w14:textFill>
              </w:rPr>
              <w:t>3</w:t>
            </w:r>
            <w:r>
              <w:rPr>
                <w:rFonts w:hint="eastAsia" w:cs="宋体" w:asciiTheme="minorEastAsia" w:hAnsiTheme="minorEastAsia" w:eastAsiaTheme="minorEastAsia"/>
                <w:color w:val="000000" w:themeColor="text1"/>
                <w:kern w:val="0"/>
                <w:sz w:val="18"/>
                <w:szCs w:val="18"/>
                <w:lang w:bidi="ar"/>
                <w14:textFill>
                  <w14:solidFill>
                    <w14:schemeClr w14:val="tx1"/>
                  </w14:solidFill>
                </w14:textFill>
              </w:rPr>
              <w:t>、实际配置所需的分布式虚拟交换机，需支持</w:t>
            </w:r>
            <w:r>
              <w:rPr>
                <w:rFonts w:cs="宋体" w:asciiTheme="minorEastAsia" w:hAnsiTheme="minorEastAsia" w:eastAsiaTheme="minorEastAsia"/>
                <w:color w:val="000000" w:themeColor="text1"/>
                <w:kern w:val="0"/>
                <w:sz w:val="18"/>
                <w:szCs w:val="18"/>
                <w:lang w:bidi="ar"/>
                <w14:textFill>
                  <w14:solidFill>
                    <w14:schemeClr w14:val="tx1"/>
                  </w14:solidFill>
                </w14:textFill>
              </w:rPr>
              <w:t>横向数据隔离</w:t>
            </w:r>
            <w:r>
              <w:rPr>
                <w:rFonts w:hint="eastAsia" w:cs="宋体" w:asciiTheme="minorEastAsia" w:hAnsiTheme="minorEastAsia" w:eastAsiaTheme="minorEastAsia"/>
                <w:color w:val="000000" w:themeColor="text1"/>
                <w:kern w:val="0"/>
                <w:sz w:val="18"/>
                <w:szCs w:val="18"/>
                <w:lang w:bidi="ar"/>
                <w14:textFill>
                  <w14:solidFill>
                    <w14:schemeClr w14:val="tx1"/>
                  </w14:solidFill>
                </w14:textFill>
              </w:rPr>
              <w:t>、</w:t>
            </w:r>
            <w:r>
              <w:rPr>
                <w:rFonts w:cs="宋体" w:asciiTheme="minorEastAsia" w:hAnsiTheme="minorEastAsia" w:eastAsiaTheme="minorEastAsia"/>
                <w:color w:val="000000" w:themeColor="text1"/>
                <w:kern w:val="0"/>
                <w:sz w:val="18"/>
                <w:szCs w:val="18"/>
                <w:lang w:bidi="ar"/>
                <w14:textFill>
                  <w14:solidFill>
                    <w14:schemeClr w14:val="tx1"/>
                  </w14:solidFill>
                </w14:textFill>
              </w:rPr>
              <w:t>底层杀毒等</w:t>
            </w:r>
            <w:r>
              <w:rPr>
                <w:rFonts w:hint="eastAsia" w:cs="宋体" w:asciiTheme="minorEastAsia" w:hAnsiTheme="minorEastAsia" w:eastAsiaTheme="minorEastAsia"/>
                <w:color w:val="000000" w:themeColor="text1"/>
                <w:kern w:val="0"/>
                <w:sz w:val="18"/>
                <w:szCs w:val="18"/>
                <w:lang w:bidi="ar"/>
                <w14:textFill>
                  <w14:solidFill>
                    <w14:schemeClr w14:val="tx1"/>
                  </w14:solidFill>
                </w14:textFill>
              </w:rPr>
              <w:t>（扩展</w:t>
            </w:r>
            <w:r>
              <w:rPr>
                <w:rFonts w:cs="宋体" w:asciiTheme="minorEastAsia" w:hAnsiTheme="minorEastAsia" w:eastAsiaTheme="minorEastAsia"/>
                <w:color w:val="000000" w:themeColor="text1"/>
                <w:kern w:val="0"/>
                <w:sz w:val="18"/>
                <w:szCs w:val="18"/>
                <w:lang w:bidi="ar"/>
                <w14:textFill>
                  <w14:solidFill>
                    <w14:schemeClr w14:val="tx1"/>
                  </w14:solidFill>
                </w14:textFill>
              </w:rPr>
              <w:t>用</w:t>
            </w:r>
            <w:r>
              <w:rPr>
                <w:rFonts w:hint="eastAsia" w:cs="宋体" w:asciiTheme="minorEastAsia" w:hAnsiTheme="minorEastAsia" w:eastAsiaTheme="minorEastAsia"/>
                <w:color w:val="000000" w:themeColor="text1"/>
                <w:kern w:val="0"/>
                <w:sz w:val="18"/>
                <w:szCs w:val="18"/>
                <w:lang w:bidi="ar"/>
                <w14:textFill>
                  <w14:solidFill>
                    <w14:schemeClr w14:val="tx1"/>
                  </w14:solidFill>
                </w14:textFill>
              </w:rPr>
              <w:t>）</w:t>
            </w:r>
            <w:r>
              <w:rPr>
                <w:rFonts w:cs="宋体" w:asciiTheme="minorEastAsia" w:hAnsiTheme="minorEastAsia" w:eastAsiaTheme="minorEastAsia"/>
                <w:color w:val="000000" w:themeColor="text1"/>
                <w:kern w:val="0"/>
                <w:sz w:val="18"/>
                <w:szCs w:val="18"/>
                <w:lang w:bidi="ar"/>
                <w14:textFill>
                  <w14:solidFill>
                    <w14:schemeClr w14:val="tx1"/>
                  </w14:solidFill>
                </w14:textFill>
              </w:rPr>
              <w:t>，</w:t>
            </w:r>
            <w:r>
              <w:rPr>
                <w:rFonts w:hint="eastAsia" w:cs="宋体" w:asciiTheme="minorEastAsia" w:hAnsiTheme="minorEastAsia" w:eastAsiaTheme="minorEastAsia"/>
                <w:color w:val="000000" w:themeColor="text1"/>
                <w:kern w:val="0"/>
                <w:sz w:val="18"/>
                <w:szCs w:val="18"/>
                <w:lang w:bidi="ar"/>
                <w14:textFill>
                  <w14:solidFill>
                    <w14:schemeClr w14:val="tx1"/>
                  </w14:solidFill>
                </w14:textFill>
              </w:rPr>
              <w:t>来保证整个软件平台的稳定性与便捷性。</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Theme="minorEastAsia" w:hAnsiTheme="minorEastAsia" w:eastAsiaTheme="minorEastAsia"/>
                <w:color w:val="000000"/>
                <w:kern w:val="0"/>
                <w:sz w:val="18"/>
                <w:szCs w:val="18"/>
                <w:lang w:bidi="ar"/>
              </w:rPr>
            </w:pPr>
            <w:r>
              <w:rPr>
                <w:rFonts w:asciiTheme="minorEastAsia" w:hAnsiTheme="minorEastAsia" w:eastAsiaTheme="minorEastAsia"/>
                <w:color w:val="000000"/>
                <w:kern w:val="0"/>
                <w:sz w:val="18"/>
                <w:szCs w:val="18"/>
                <w:lang w:bidi="ar"/>
              </w:rPr>
              <w:t>1</w:t>
            </w:r>
            <w:r>
              <w:rPr>
                <w:rStyle w:val="50"/>
                <w:rFonts w:hint="default" w:asciiTheme="minorEastAsia" w:hAnsiTheme="minorEastAsia" w:eastAsiaTheme="minorEastAsia"/>
                <w:sz w:val="18"/>
                <w:szCs w:val="18"/>
                <w:lang w:bidi="ar"/>
              </w:rPr>
              <w:t>套</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Theme="minorEastAsia" w:hAnsiTheme="minorEastAsia" w:eastAsiaTheme="minorEastAsia"/>
                <w:color w:val="000000"/>
                <w:kern w:val="0"/>
                <w:sz w:val="18"/>
                <w:szCs w:val="18"/>
                <w:lang w:bidi="ar"/>
              </w:rPr>
            </w:pPr>
            <w:r>
              <w:rPr>
                <w:rFonts w:hint="eastAsia" w:asciiTheme="minorEastAsia" w:hAnsiTheme="minorEastAsia" w:eastAsiaTheme="minorEastAsia"/>
                <w:color w:val="000000"/>
                <w:kern w:val="0"/>
                <w:sz w:val="18"/>
                <w:szCs w:val="18"/>
                <w:lang w:bidi="ar"/>
              </w:rPr>
              <w:t>3</w:t>
            </w:r>
            <w:r>
              <w:rPr>
                <w:rFonts w:asciiTheme="minorEastAsia" w:hAnsiTheme="minorEastAsia" w:eastAsiaTheme="minorEastAsia"/>
                <w:color w:val="000000"/>
                <w:kern w:val="0"/>
                <w:sz w:val="18"/>
                <w:szCs w:val="18"/>
                <w:lang w:bidi="ar"/>
              </w:rPr>
              <w:t>年</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原厂3年维保，中标厂商提供2年技术支持</w:t>
            </w:r>
          </w:p>
        </w:tc>
      </w:tr>
      <w:tr>
        <w:tblPrEx>
          <w:tblCellMar>
            <w:top w:w="15" w:type="dxa"/>
            <w:left w:w="15" w:type="dxa"/>
            <w:bottom w:w="15" w:type="dxa"/>
            <w:right w:w="15" w:type="dxa"/>
          </w:tblCellMar>
        </w:tblPrEx>
        <w:trPr>
          <w:trHeight w:val="3661"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数据中心交换机</w:t>
            </w:r>
          </w:p>
        </w:tc>
        <w:tc>
          <w:tcPr>
            <w:tcW w:w="53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1、整机主控引擎≥2个，满足1+1冗余，业务插槽≥</w:t>
            </w:r>
            <w:r>
              <w:rPr>
                <w:rFonts w:cs="宋体" w:asciiTheme="minorEastAsia" w:hAnsiTheme="minorEastAsia" w:eastAsiaTheme="minorEastAsia"/>
                <w:color w:val="000000"/>
                <w:kern w:val="0"/>
                <w:sz w:val="18"/>
                <w:szCs w:val="18"/>
                <w:lang w:bidi="ar"/>
              </w:rPr>
              <w:t>6</w:t>
            </w:r>
            <w:r>
              <w:rPr>
                <w:rFonts w:hint="eastAsia" w:cs="宋体" w:asciiTheme="minorEastAsia" w:hAnsiTheme="minorEastAsia" w:eastAsiaTheme="minorEastAsia"/>
                <w:color w:val="000000"/>
                <w:kern w:val="0"/>
                <w:sz w:val="18"/>
                <w:szCs w:val="18"/>
                <w:lang w:bidi="ar"/>
              </w:rPr>
              <w:t>个，支持模块化电源。</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2、单台配置≥24个万兆光口，配置≥96个千兆电口，配置双引擎，双交流电源模块，关键部件可热插拔，共配置24个万兆模块，每台12个，配置主核心mx960上所需万兆模块每台1个。</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3、交换容量≥70Tbps,包转发率</w:t>
            </w:r>
            <w:r>
              <w:rPr>
                <w:rFonts w:cs="宋体" w:asciiTheme="minorEastAsia" w:hAnsiTheme="minorEastAsia" w:eastAsiaTheme="minorEastAsia"/>
                <w:color w:val="000000"/>
                <w:kern w:val="0"/>
                <w:sz w:val="18"/>
                <w:szCs w:val="18"/>
                <w:lang w:bidi="ar"/>
              </w:rPr>
              <w:t>80</w:t>
            </w:r>
            <w:r>
              <w:rPr>
                <w:rFonts w:hint="eastAsia" w:cs="宋体" w:asciiTheme="minorEastAsia" w:hAnsiTheme="minorEastAsia" w:eastAsiaTheme="minorEastAsia"/>
                <w:color w:val="000000"/>
                <w:kern w:val="0"/>
                <w:sz w:val="18"/>
                <w:szCs w:val="18"/>
                <w:lang w:bidi="ar"/>
              </w:rPr>
              <w:t>00Mpps。</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4、支持多虚一技术。支持ARP Proxy，支持DHCP Relay，支持DHCP Server，支持静态路由，支持RIPv1/v2，支持OSPFv2，支持BGPv4，支持策略路由，支持等价路由实现负载均衡。</w:t>
            </w:r>
          </w:p>
          <w:p>
            <w:pPr>
              <w:widowControl/>
              <w:spacing w:line="360" w:lineRule="auto"/>
              <w:textAlignment w:val="top"/>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5、支持对组播、广播、未知单播报文的抑制功能，支持端口隔离，支持端口安全、IP+MAC+端口绑定，支持DHCP Snooping、DHCP Option 82，支持IEEE 802.1x认证，支持4K VLAN表项，支持GVRP，支持1：1和N：1 VLAN Mapping，支持基本QinQ和灵活QinQ功能。</w:t>
            </w:r>
          </w:p>
          <w:p>
            <w:pPr>
              <w:widowControl/>
              <w:spacing w:line="360" w:lineRule="auto"/>
              <w:textAlignment w:val="top"/>
              <w:rPr>
                <w:rFonts w:cs="宋体" w:asciiTheme="minorEastAsia" w:hAnsiTheme="minorEastAsia" w:eastAsiaTheme="minorEastAsia"/>
                <w:b/>
                <w:color w:val="000000"/>
                <w:kern w:val="0"/>
                <w:sz w:val="18"/>
                <w:szCs w:val="18"/>
                <w:lang w:bidi="ar"/>
              </w:rPr>
            </w:pPr>
            <w:r>
              <w:rPr>
                <w:rFonts w:hint="eastAsia" w:cs="宋体" w:asciiTheme="minorEastAsia" w:hAnsiTheme="minorEastAsia" w:eastAsiaTheme="minorEastAsia"/>
                <w:color w:val="000000"/>
                <w:kern w:val="0"/>
                <w:sz w:val="18"/>
                <w:szCs w:val="18"/>
                <w:lang w:bidi="ar"/>
              </w:rPr>
              <w:t>6、支持SNMP v1/v2/v3。</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7、支持RIPng、OSPFv3、BGP4+；支持IPv6策略路由；支持DHCPv6功能、能设置IPv6。</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8、提供原厂5年保修服务及技术支持服务；需提供生产厂家针对此项目的授权原件和售后服务承诺函原件。</w:t>
            </w:r>
          </w:p>
          <w:p>
            <w:pPr>
              <w:widowControl/>
              <w:spacing w:line="360" w:lineRule="auto"/>
              <w:textAlignment w:val="top"/>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9、为保证产品兼容性，本次投标交换机与超融合一体机平台为同一品牌。</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lang w:bidi="ar"/>
              </w:rPr>
              <w:t>2</w:t>
            </w:r>
            <w:r>
              <w:rPr>
                <w:rStyle w:val="50"/>
                <w:rFonts w:hint="default" w:asciiTheme="minorEastAsia" w:hAnsiTheme="minorEastAsia" w:eastAsiaTheme="minorEastAsia"/>
                <w:sz w:val="18"/>
                <w:szCs w:val="18"/>
                <w:lang w:bidi="ar"/>
              </w:rPr>
              <w:t>台</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kern w:val="0"/>
                <w:sz w:val="18"/>
                <w:szCs w:val="18"/>
                <w:lang w:bidi="ar"/>
              </w:rPr>
              <w:t>5</w:t>
            </w:r>
            <w:r>
              <w:rPr>
                <w:rFonts w:asciiTheme="minorEastAsia" w:hAnsiTheme="minorEastAsia" w:eastAsiaTheme="minorEastAsia"/>
                <w:color w:val="000000"/>
                <w:kern w:val="0"/>
                <w:sz w:val="18"/>
                <w:szCs w:val="18"/>
                <w:lang w:bidi="ar"/>
              </w:rPr>
              <w:t>年</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heme="minorEastAsia" w:hAnsiTheme="minorEastAsia" w:eastAsiaTheme="minorEastAsia"/>
                <w:color w:val="000000"/>
                <w:sz w:val="18"/>
                <w:szCs w:val="18"/>
              </w:rPr>
            </w:pPr>
          </w:p>
        </w:tc>
      </w:tr>
      <w:tr>
        <w:tblPrEx>
          <w:tblCellMar>
            <w:top w:w="15" w:type="dxa"/>
            <w:left w:w="15" w:type="dxa"/>
            <w:bottom w:w="15" w:type="dxa"/>
            <w:right w:w="15" w:type="dxa"/>
          </w:tblCellMar>
        </w:tblPrEx>
        <w:trPr>
          <w:trHeight w:val="809"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存储</w:t>
            </w:r>
          </w:p>
          <w:p>
            <w:pPr>
              <w:widowControl/>
              <w:spacing w:line="360" w:lineRule="auto"/>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交换机</w:t>
            </w:r>
          </w:p>
        </w:tc>
        <w:tc>
          <w:tcPr>
            <w:tcW w:w="53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cs="宋体" w:asciiTheme="minorEastAsia" w:hAnsiTheme="minorEastAsia" w:eastAsiaTheme="minorEastAsia"/>
                <w:b/>
                <w:color w:val="000000"/>
                <w:kern w:val="0"/>
                <w:sz w:val="18"/>
                <w:szCs w:val="18"/>
                <w:lang w:bidi="ar"/>
              </w:rPr>
            </w:pPr>
            <w:r>
              <w:rPr>
                <w:rFonts w:hint="eastAsia" w:cs="宋体" w:asciiTheme="minorEastAsia" w:hAnsiTheme="minorEastAsia" w:eastAsiaTheme="minorEastAsia"/>
                <w:b/>
                <w:color w:val="000000"/>
                <w:kern w:val="0"/>
                <w:sz w:val="18"/>
                <w:szCs w:val="18"/>
                <w:lang w:bidi="ar"/>
              </w:rPr>
              <w:t>性能及硬件要求：</w:t>
            </w:r>
          </w:p>
          <w:p>
            <w:pPr>
              <w:widowControl/>
              <w:spacing w:line="360" w:lineRule="auto"/>
              <w:textAlignment w:val="top"/>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1、万兆SFP+光口≥12个。</w:t>
            </w:r>
          </w:p>
          <w:p>
            <w:pPr>
              <w:widowControl/>
              <w:spacing w:line="360" w:lineRule="auto"/>
              <w:textAlignment w:val="top"/>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2、</w:t>
            </w:r>
            <w:r>
              <w:rPr>
                <w:rFonts w:hint="eastAsia" w:cs="宋体" w:asciiTheme="minorEastAsia" w:hAnsiTheme="minorEastAsia" w:eastAsiaTheme="minorEastAsia"/>
                <w:kern w:val="0"/>
                <w:sz w:val="18"/>
                <w:szCs w:val="18"/>
                <w:lang w:bidi="ar"/>
              </w:rPr>
              <w:t>交换机交换容量≥12Tbps，</w:t>
            </w:r>
            <w:r>
              <w:rPr>
                <w:rFonts w:hint="eastAsia" w:cs="宋体" w:asciiTheme="minorEastAsia" w:hAnsiTheme="minorEastAsia" w:eastAsiaTheme="minorEastAsia"/>
                <w:color w:val="000000"/>
                <w:kern w:val="0"/>
                <w:sz w:val="18"/>
                <w:szCs w:val="18"/>
                <w:lang w:bidi="ar"/>
              </w:rPr>
              <w:t>包转发率≥360Mpp</w:t>
            </w:r>
            <w:r>
              <w:rPr>
                <w:rFonts w:cs="宋体" w:asciiTheme="minorEastAsia" w:hAnsiTheme="minorEastAsia" w:eastAsiaTheme="minorEastAsia"/>
                <w:color w:val="000000"/>
                <w:kern w:val="0"/>
                <w:sz w:val="18"/>
                <w:szCs w:val="18"/>
                <w:lang w:bidi="ar"/>
              </w:rPr>
              <w:t>s</w:t>
            </w:r>
            <w:r>
              <w:rPr>
                <w:rFonts w:hint="eastAsia" w:cs="宋体" w:asciiTheme="minorEastAsia" w:hAnsiTheme="minorEastAsia" w:eastAsiaTheme="minorEastAsia"/>
                <w:color w:val="000000"/>
                <w:kern w:val="0"/>
                <w:sz w:val="18"/>
                <w:szCs w:val="18"/>
                <w:lang w:bidi="ar"/>
              </w:rPr>
              <w:t>。</w:t>
            </w:r>
          </w:p>
          <w:p>
            <w:pPr>
              <w:widowControl/>
              <w:spacing w:line="360" w:lineRule="auto"/>
              <w:textAlignment w:val="top"/>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3、单台配置≥6个万兆光纤模块。</w:t>
            </w:r>
          </w:p>
          <w:p>
            <w:pPr>
              <w:widowControl/>
              <w:spacing w:line="360" w:lineRule="auto"/>
              <w:textAlignment w:val="top"/>
              <w:rPr>
                <w:rFonts w:cs="宋体" w:asciiTheme="minorEastAsia" w:hAnsiTheme="minorEastAsia" w:eastAsiaTheme="minorEastAsia"/>
                <w:b/>
                <w:color w:val="000000"/>
                <w:kern w:val="0"/>
                <w:sz w:val="18"/>
                <w:szCs w:val="18"/>
                <w:lang w:bidi="ar"/>
              </w:rPr>
            </w:pPr>
            <w:r>
              <w:rPr>
                <w:rFonts w:hint="eastAsia" w:cs="宋体" w:asciiTheme="minorEastAsia" w:hAnsiTheme="minorEastAsia" w:eastAsiaTheme="minorEastAsia"/>
                <w:b/>
                <w:color w:val="000000"/>
                <w:kern w:val="0"/>
                <w:sz w:val="18"/>
                <w:szCs w:val="18"/>
                <w:lang w:bidi="ar"/>
              </w:rPr>
              <w:t>功能要求：</w:t>
            </w:r>
          </w:p>
          <w:p>
            <w:pPr>
              <w:widowControl/>
              <w:spacing w:line="360" w:lineRule="auto"/>
              <w:textAlignment w:val="top"/>
              <w:rPr>
                <w:rFonts w:cs="宋体" w:asciiTheme="minorEastAsia" w:hAnsiTheme="minorEastAsia" w:eastAsiaTheme="minorEastAsia"/>
                <w:color w:val="000000"/>
                <w:kern w:val="0"/>
                <w:sz w:val="18"/>
                <w:szCs w:val="18"/>
                <w:lang w:bidi="ar"/>
              </w:rPr>
            </w:pPr>
            <w:r>
              <w:rPr>
                <w:rFonts w:cs="宋体" w:asciiTheme="minorEastAsia" w:hAnsiTheme="minorEastAsia" w:eastAsiaTheme="minorEastAsia"/>
                <w:color w:val="000000"/>
                <w:kern w:val="0"/>
                <w:sz w:val="18"/>
                <w:szCs w:val="18"/>
                <w:lang w:bidi="ar"/>
              </w:rPr>
              <w:t>1</w:t>
            </w:r>
            <w:r>
              <w:rPr>
                <w:rFonts w:hint="eastAsia" w:cs="宋体" w:asciiTheme="minorEastAsia" w:hAnsiTheme="minorEastAsia" w:eastAsiaTheme="minorEastAsia"/>
                <w:color w:val="000000"/>
                <w:kern w:val="0"/>
                <w:sz w:val="18"/>
                <w:szCs w:val="18"/>
                <w:lang w:bidi="ar"/>
              </w:rPr>
              <w:t>、支持IPv4静态路由、RIP V1/V2、OSPF、BGP；支持IPv6静态路由、RIPng、OSPFv3、BGP4+；支持IPv4和IPv6环境下的策略路由。</w:t>
            </w:r>
          </w:p>
          <w:p>
            <w:pPr>
              <w:widowControl/>
              <w:spacing w:line="360" w:lineRule="auto"/>
              <w:textAlignment w:val="top"/>
              <w:rPr>
                <w:rFonts w:cs="宋体" w:asciiTheme="minorEastAsia" w:hAnsiTheme="minorEastAsia" w:eastAsiaTheme="minorEastAsia"/>
                <w:color w:val="000000"/>
                <w:kern w:val="0"/>
                <w:sz w:val="18"/>
                <w:szCs w:val="18"/>
                <w:lang w:bidi="ar"/>
              </w:rPr>
            </w:pPr>
            <w:r>
              <w:rPr>
                <w:rFonts w:cs="宋体" w:asciiTheme="minorEastAsia" w:hAnsiTheme="minorEastAsia" w:eastAsiaTheme="minorEastAsia"/>
                <w:color w:val="000000"/>
                <w:kern w:val="0"/>
                <w:sz w:val="18"/>
                <w:szCs w:val="18"/>
                <w:lang w:bidi="ar"/>
              </w:rPr>
              <w:t>2</w:t>
            </w:r>
            <w:r>
              <w:rPr>
                <w:rFonts w:hint="eastAsia" w:cs="宋体" w:asciiTheme="minorEastAsia" w:hAnsiTheme="minorEastAsia" w:eastAsiaTheme="minorEastAsia"/>
                <w:color w:val="000000"/>
                <w:kern w:val="0"/>
                <w:sz w:val="18"/>
                <w:szCs w:val="18"/>
                <w:lang w:bidi="ar"/>
              </w:rPr>
              <w:t>、具备智能管理中心功能，通过该功能可以实现智能管理、智能运维、智能业务以及业务可视化，即对整网进行统一管理。</w:t>
            </w:r>
          </w:p>
          <w:p>
            <w:pPr>
              <w:widowControl/>
              <w:spacing w:line="360" w:lineRule="auto"/>
              <w:textAlignment w:val="top"/>
              <w:rPr>
                <w:rFonts w:cs="宋体" w:asciiTheme="minorEastAsia" w:hAnsiTheme="minorEastAsia" w:eastAsiaTheme="minorEastAsia"/>
                <w:color w:val="000000"/>
                <w:kern w:val="0"/>
                <w:sz w:val="18"/>
                <w:szCs w:val="18"/>
                <w:lang w:bidi="ar"/>
              </w:rPr>
            </w:pPr>
            <w:r>
              <w:rPr>
                <w:rFonts w:cs="宋体" w:asciiTheme="minorEastAsia" w:hAnsiTheme="minorEastAsia" w:eastAsiaTheme="minorEastAsia"/>
                <w:color w:val="000000"/>
                <w:kern w:val="0"/>
                <w:sz w:val="18"/>
                <w:szCs w:val="18"/>
                <w:lang w:bidi="ar"/>
              </w:rPr>
              <w:t>3</w:t>
            </w:r>
            <w:r>
              <w:rPr>
                <w:rFonts w:hint="eastAsia" w:cs="宋体" w:asciiTheme="minorEastAsia" w:hAnsiTheme="minorEastAsia" w:eastAsiaTheme="minorEastAsia"/>
                <w:color w:val="000000"/>
                <w:kern w:val="0"/>
                <w:sz w:val="18"/>
                <w:szCs w:val="18"/>
                <w:lang w:bidi="ar"/>
              </w:rPr>
              <w:t>、支持对智能交换机的状态进行图形化查看，包括每个端口的开关、负载状态、交换机交换容量状况，并能通过颜色区分端口是否运行，提高运维效率。</w:t>
            </w:r>
          </w:p>
          <w:p>
            <w:pPr>
              <w:widowControl/>
              <w:spacing w:line="360" w:lineRule="auto"/>
              <w:textAlignment w:val="top"/>
              <w:rPr>
                <w:rFonts w:cs="宋体" w:asciiTheme="minorEastAsia" w:hAnsiTheme="minorEastAsia" w:eastAsiaTheme="minorEastAsia"/>
                <w:color w:val="000000"/>
                <w:kern w:val="0"/>
                <w:sz w:val="18"/>
                <w:szCs w:val="18"/>
                <w:lang w:bidi="ar"/>
              </w:rPr>
            </w:pPr>
            <w:r>
              <w:rPr>
                <w:rFonts w:cs="宋体" w:asciiTheme="minorEastAsia" w:hAnsiTheme="minorEastAsia" w:eastAsiaTheme="minorEastAsia"/>
                <w:color w:val="000000"/>
                <w:kern w:val="0"/>
                <w:sz w:val="18"/>
                <w:szCs w:val="18"/>
                <w:lang w:bidi="ar"/>
              </w:rPr>
              <w:t>4</w:t>
            </w:r>
            <w:r>
              <w:rPr>
                <w:rFonts w:hint="eastAsia" w:cs="宋体" w:asciiTheme="minorEastAsia" w:hAnsiTheme="minorEastAsia" w:eastAsiaTheme="minorEastAsia"/>
                <w:color w:val="000000"/>
                <w:kern w:val="0"/>
                <w:sz w:val="18"/>
                <w:szCs w:val="18"/>
                <w:lang w:bidi="ar"/>
              </w:rPr>
              <w:t>、支持查看终端在交换机端口离线次数、闲置时间、离线趋势。</w:t>
            </w:r>
          </w:p>
          <w:p>
            <w:pPr>
              <w:widowControl/>
              <w:spacing w:line="360" w:lineRule="auto"/>
              <w:textAlignment w:val="top"/>
              <w:rPr>
                <w:rFonts w:cs="宋体" w:asciiTheme="minorEastAsia" w:hAnsiTheme="minorEastAsia" w:eastAsiaTheme="minorEastAsia"/>
                <w:color w:val="000000"/>
                <w:kern w:val="0"/>
                <w:sz w:val="18"/>
                <w:szCs w:val="18"/>
                <w:lang w:bidi="ar"/>
              </w:rPr>
            </w:pPr>
            <w:r>
              <w:rPr>
                <w:rFonts w:cs="宋体" w:asciiTheme="minorEastAsia" w:hAnsiTheme="minorEastAsia" w:eastAsiaTheme="minorEastAsia"/>
                <w:color w:val="000000"/>
                <w:kern w:val="0"/>
                <w:sz w:val="18"/>
                <w:szCs w:val="18"/>
                <w:lang w:bidi="ar"/>
              </w:rPr>
              <w:t>5</w:t>
            </w:r>
            <w:r>
              <w:rPr>
                <w:rFonts w:hint="eastAsia" w:cs="宋体" w:asciiTheme="minorEastAsia" w:hAnsiTheme="minorEastAsia" w:eastAsiaTheme="minorEastAsia"/>
                <w:color w:val="000000"/>
                <w:kern w:val="0"/>
                <w:sz w:val="18"/>
                <w:szCs w:val="18"/>
                <w:lang w:bidi="ar"/>
              </w:rPr>
              <w:t>、支持查看安全事件记录、私扩非法边缘设备记录、终端在端口漂移记录、静态IP异常记录等安全事件的记录统计。</w:t>
            </w:r>
          </w:p>
          <w:p>
            <w:pPr>
              <w:widowControl/>
              <w:spacing w:line="360" w:lineRule="auto"/>
              <w:textAlignment w:val="top"/>
              <w:rPr>
                <w:rFonts w:cs="宋体" w:asciiTheme="minorEastAsia" w:hAnsiTheme="minorEastAsia" w:eastAsiaTheme="minorEastAsia"/>
                <w:color w:val="000000"/>
                <w:kern w:val="0"/>
                <w:sz w:val="18"/>
                <w:szCs w:val="18"/>
                <w:lang w:bidi="ar"/>
              </w:rPr>
            </w:pPr>
            <w:r>
              <w:rPr>
                <w:rFonts w:cs="宋体" w:asciiTheme="minorEastAsia" w:hAnsiTheme="minorEastAsia" w:eastAsiaTheme="minorEastAsia"/>
                <w:color w:val="000000"/>
                <w:kern w:val="0"/>
                <w:sz w:val="18"/>
                <w:szCs w:val="18"/>
                <w:lang w:bidi="ar"/>
              </w:rPr>
              <w:t>6</w:t>
            </w:r>
            <w:r>
              <w:rPr>
                <w:rFonts w:hint="eastAsia" w:cs="宋体" w:asciiTheme="minorEastAsia" w:hAnsiTheme="minorEastAsia" w:eastAsiaTheme="minorEastAsia"/>
                <w:color w:val="000000"/>
                <w:kern w:val="0"/>
                <w:sz w:val="18"/>
                <w:szCs w:val="18"/>
                <w:lang w:bidi="ar"/>
              </w:rPr>
              <w:t>、提供原厂5年保修服务及技术支持服务；需提供生产厂家针对此项目的授权原件和售后服务承诺函原件。</w:t>
            </w:r>
          </w:p>
          <w:p>
            <w:pPr>
              <w:widowControl/>
              <w:spacing w:line="360" w:lineRule="auto"/>
              <w:textAlignment w:val="top"/>
              <w:rPr>
                <w:rFonts w:cs="宋体" w:asciiTheme="minorEastAsia" w:hAnsiTheme="minorEastAsia" w:eastAsiaTheme="minorEastAsia"/>
                <w:color w:val="000000"/>
                <w:sz w:val="18"/>
                <w:szCs w:val="18"/>
              </w:rPr>
            </w:pPr>
            <w:r>
              <w:rPr>
                <w:rFonts w:cs="宋体" w:asciiTheme="minorEastAsia" w:hAnsiTheme="minorEastAsia" w:eastAsiaTheme="minorEastAsia"/>
                <w:color w:val="000000"/>
                <w:kern w:val="0"/>
                <w:sz w:val="18"/>
                <w:szCs w:val="18"/>
                <w:lang w:bidi="ar"/>
              </w:rPr>
              <w:t>7</w:t>
            </w:r>
            <w:r>
              <w:rPr>
                <w:rFonts w:hint="eastAsia" w:cs="宋体" w:asciiTheme="minorEastAsia" w:hAnsiTheme="minorEastAsia" w:eastAsiaTheme="minorEastAsia"/>
                <w:color w:val="000000"/>
                <w:kern w:val="0"/>
                <w:sz w:val="18"/>
                <w:szCs w:val="18"/>
                <w:lang w:bidi="ar"/>
              </w:rPr>
              <w:t>、为保证产品兼容性，本次投标存储交换机与超融合一体机平台为同一品牌。</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kern w:val="0"/>
                <w:sz w:val="18"/>
                <w:szCs w:val="18"/>
                <w:lang w:bidi="ar"/>
              </w:rPr>
              <w:t>4</w:t>
            </w:r>
            <w:r>
              <w:rPr>
                <w:rStyle w:val="50"/>
                <w:rFonts w:hint="default" w:asciiTheme="minorEastAsia" w:hAnsiTheme="minorEastAsia" w:eastAsiaTheme="minorEastAsia"/>
                <w:sz w:val="18"/>
                <w:szCs w:val="18"/>
                <w:lang w:bidi="ar"/>
              </w:rPr>
              <w:t>台</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kern w:val="0"/>
                <w:sz w:val="18"/>
                <w:szCs w:val="18"/>
                <w:lang w:bidi="ar"/>
              </w:rPr>
              <w:t>5</w:t>
            </w:r>
            <w:r>
              <w:rPr>
                <w:rFonts w:asciiTheme="minorEastAsia" w:hAnsiTheme="minorEastAsia" w:eastAsiaTheme="minorEastAsia"/>
                <w:color w:val="000000"/>
                <w:kern w:val="0"/>
                <w:sz w:val="18"/>
                <w:szCs w:val="18"/>
                <w:lang w:bidi="ar"/>
              </w:rPr>
              <w:t>年</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heme="minorEastAsia" w:hAnsiTheme="minorEastAsia" w:eastAsiaTheme="minorEastAsia"/>
                <w:color w:val="000000"/>
                <w:sz w:val="18"/>
                <w:szCs w:val="18"/>
              </w:rPr>
            </w:pPr>
          </w:p>
        </w:tc>
      </w:tr>
      <w:tr>
        <w:tblPrEx>
          <w:tblCellMar>
            <w:top w:w="15" w:type="dxa"/>
            <w:left w:w="15" w:type="dxa"/>
            <w:bottom w:w="15" w:type="dxa"/>
            <w:right w:w="15" w:type="dxa"/>
          </w:tblCellMar>
        </w:tblPrEx>
        <w:trPr>
          <w:trHeight w:val="1768"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系统</w:t>
            </w:r>
          </w:p>
          <w:p>
            <w:pPr>
              <w:widowControl/>
              <w:spacing w:line="360" w:lineRule="auto"/>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实施费用</w:t>
            </w:r>
          </w:p>
        </w:tc>
        <w:tc>
          <w:tcPr>
            <w:tcW w:w="53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1、</w:t>
            </w:r>
            <w:r>
              <w:rPr>
                <w:rFonts w:hint="eastAsia" w:cs="宋体" w:asciiTheme="minorEastAsia" w:hAnsiTheme="minorEastAsia" w:eastAsiaTheme="minorEastAsia"/>
                <w:color w:val="000000"/>
                <w:sz w:val="18"/>
                <w:szCs w:val="18"/>
              </w:rPr>
              <w:t>超融合服务器虚拟化、存储虚拟化、网络虚拟化及硬件服务器、数据中心交换机、业务交换机等安装、实施、调试、自检、线路连接等服务。</w:t>
            </w:r>
          </w:p>
          <w:p>
            <w:pPr>
              <w:widowControl/>
              <w:spacing w:line="360" w:lineRule="auto"/>
              <w:textAlignment w:val="top"/>
              <w:rPr>
                <w:rFonts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2</w:t>
            </w:r>
            <w:r>
              <w:rPr>
                <w:rFonts w:hint="eastAsia" w:cs="宋体" w:asciiTheme="minorEastAsia" w:hAnsiTheme="minorEastAsia" w:eastAsiaTheme="minorEastAsia"/>
                <w:color w:val="000000"/>
                <w:sz w:val="18"/>
                <w:szCs w:val="18"/>
              </w:rPr>
              <w:t>、按照学校的要求协助学校共同完成应用的迁移、测试、上线工作。</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1项</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Theme="minorEastAsia" w:hAnsiTheme="minorEastAsia" w:eastAsiaTheme="minorEastAsia"/>
                <w:color w:val="000000"/>
                <w:sz w:val="18"/>
                <w:szCs w:val="18"/>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Theme="minorEastAsia" w:hAnsiTheme="minorEastAsia" w:eastAsiaTheme="minorEastAsia"/>
                <w:color w:val="000000"/>
                <w:sz w:val="18"/>
                <w:szCs w:val="18"/>
              </w:rPr>
            </w:pPr>
          </w:p>
        </w:tc>
      </w:tr>
    </w:tbl>
    <w:p>
      <w:pPr>
        <w:rPr>
          <w:rFonts w:hAnsi="宋体" w:cs="黑体"/>
        </w:rPr>
      </w:pPr>
      <w:bookmarkStart w:id="7" w:name="_Toc23593"/>
      <w:r>
        <w:rPr>
          <w:rFonts w:hint="eastAsia" w:hAnsi="宋体" w:cs="黑体"/>
        </w:rPr>
        <w:br w:type="page"/>
      </w:r>
    </w:p>
    <w:p>
      <w:pPr>
        <w:pStyle w:val="2"/>
        <w:spacing w:line="360" w:lineRule="auto"/>
        <w:jc w:val="center"/>
      </w:pPr>
      <w:r>
        <w:rPr>
          <w:rFonts w:hint="eastAsia"/>
        </w:rPr>
        <w:t>第四部分 投标报价相关要求</w:t>
      </w:r>
      <w:bookmarkEnd w:id="7"/>
    </w:p>
    <w:p>
      <w:pPr>
        <w:pStyle w:val="3"/>
        <w:numPr>
          <w:ilvl w:val="0"/>
          <w:numId w:val="0"/>
        </w:numPr>
        <w:spacing w:line="360" w:lineRule="auto"/>
        <w:ind w:left="360"/>
        <w:rPr>
          <w:rFonts w:ascii="Calibri" w:hAnsi="Calibri" w:eastAsia="宋体" w:cs="Times New Roman"/>
          <w:b/>
          <w:bCs/>
          <w:kern w:val="28"/>
          <w:sz w:val="32"/>
          <w:szCs w:val="32"/>
        </w:rPr>
      </w:pPr>
      <w:bookmarkStart w:id="8" w:name="_Toc16946"/>
      <w:bookmarkStart w:id="9" w:name="_Toc312099392"/>
      <w:r>
        <w:rPr>
          <w:rFonts w:hint="eastAsia" w:ascii="Calibri" w:hAnsi="Calibri" w:eastAsia="宋体" w:cs="Times New Roman"/>
          <w:b/>
          <w:bCs/>
          <w:kern w:val="28"/>
          <w:sz w:val="32"/>
          <w:szCs w:val="32"/>
        </w:rPr>
        <w:t>附件1 报 价 函</w:t>
      </w:r>
      <w:bookmarkEnd w:id="8"/>
      <w:bookmarkEnd w:id="9"/>
    </w:p>
    <w:p>
      <w:pPr>
        <w:spacing w:line="360" w:lineRule="auto"/>
        <w:rPr>
          <w:rFonts w:hAnsi="宋体"/>
          <w:sz w:val="24"/>
          <w:szCs w:val="24"/>
        </w:rPr>
      </w:pPr>
      <w:r>
        <w:rPr>
          <w:rFonts w:hint="eastAsia" w:hAnsi="宋体" w:cs="宋体"/>
          <w:sz w:val="24"/>
          <w:szCs w:val="24"/>
        </w:rPr>
        <w:t>致：辽宁对外经贸学院</w:t>
      </w:r>
    </w:p>
    <w:p>
      <w:pPr>
        <w:spacing w:after="120" w:afterLines="50" w:line="360" w:lineRule="auto"/>
        <w:jc w:val="left"/>
        <w:rPr>
          <w:rFonts w:hAnsi="宋体"/>
          <w:sz w:val="24"/>
          <w:szCs w:val="24"/>
        </w:rPr>
      </w:pPr>
      <w:r>
        <w:rPr>
          <w:rFonts w:hAnsi="宋体"/>
          <w:sz w:val="24"/>
          <w:szCs w:val="24"/>
        </w:rPr>
        <w:t xml:space="preserve">    </w:t>
      </w:r>
      <w:r>
        <w:rPr>
          <w:rFonts w:hint="eastAsia" w:hAnsi="宋体" w:cs="宋体"/>
          <w:sz w:val="24"/>
          <w:szCs w:val="24"/>
        </w:rPr>
        <w:t>根据贵方的辽宁对外经贸学院数据中心建设项目邀请，签字代表（姓名、职务）</w:t>
      </w:r>
      <w:r>
        <w:rPr>
          <w:rFonts w:hAnsi="宋体"/>
          <w:sz w:val="24"/>
          <w:szCs w:val="24"/>
          <w:u w:val="single"/>
        </w:rPr>
        <w:t xml:space="preserve">              </w:t>
      </w:r>
      <w:r>
        <w:rPr>
          <w:rFonts w:hint="eastAsia" w:hAnsi="宋体" w:cs="宋体"/>
          <w:sz w:val="24"/>
          <w:szCs w:val="24"/>
        </w:rPr>
        <w:t>经正式授权并代表我公司（单位名称）</w:t>
      </w:r>
      <w:r>
        <w:rPr>
          <w:rFonts w:hAnsi="宋体"/>
          <w:sz w:val="24"/>
          <w:szCs w:val="24"/>
          <w:u w:val="single"/>
        </w:rPr>
        <w:t xml:space="preserve">                </w:t>
      </w:r>
      <w:r>
        <w:rPr>
          <w:rFonts w:hint="eastAsia" w:hAnsi="宋体" w:cs="宋体"/>
          <w:sz w:val="24"/>
          <w:szCs w:val="24"/>
        </w:rPr>
        <w:t>提交下述文件</w:t>
      </w:r>
      <w:r>
        <w:rPr>
          <w:rFonts w:hint="eastAsia" w:hAnsi="宋体" w:cs="宋体"/>
          <w:sz w:val="24"/>
          <w:szCs w:val="24"/>
          <w:highlight w:val="yellow"/>
        </w:rPr>
        <w:t>正本一份、副本六份</w:t>
      </w:r>
      <w:r>
        <w:rPr>
          <w:rFonts w:hint="eastAsia" w:hAnsi="宋体" w:cs="宋体"/>
          <w:sz w:val="24"/>
          <w:szCs w:val="24"/>
        </w:rPr>
        <w:t>及报价：</w:t>
      </w:r>
    </w:p>
    <w:p>
      <w:pPr>
        <w:spacing w:line="360" w:lineRule="auto"/>
        <w:ind w:firstLine="480" w:firstLineChars="200"/>
        <w:jc w:val="left"/>
        <w:rPr>
          <w:rFonts w:hAnsi="宋体"/>
          <w:sz w:val="24"/>
          <w:szCs w:val="24"/>
        </w:rPr>
      </w:pPr>
      <w:r>
        <w:rPr>
          <w:rFonts w:hAnsi="宋体"/>
          <w:sz w:val="24"/>
          <w:szCs w:val="24"/>
        </w:rPr>
        <w:t>1.</w:t>
      </w:r>
      <w:r>
        <w:rPr>
          <w:rFonts w:hint="eastAsia" w:hAnsi="宋体" w:cs="宋体"/>
          <w:sz w:val="24"/>
          <w:szCs w:val="24"/>
        </w:rPr>
        <w:t>报价：按邀请中的产品及服务要求，共计人民币</w:t>
      </w:r>
      <w:r>
        <w:rPr>
          <w:rFonts w:hAnsi="宋体"/>
          <w:sz w:val="24"/>
          <w:szCs w:val="24"/>
          <w:u w:val="single"/>
        </w:rPr>
        <w:t xml:space="preserve">        </w:t>
      </w:r>
      <w:r>
        <w:rPr>
          <w:rFonts w:hint="eastAsia" w:hAnsi="宋体" w:cs="宋体"/>
          <w:sz w:val="24"/>
          <w:szCs w:val="24"/>
        </w:rPr>
        <w:t>万元。</w:t>
      </w:r>
    </w:p>
    <w:p>
      <w:pPr>
        <w:spacing w:line="360" w:lineRule="auto"/>
        <w:ind w:firstLine="480" w:firstLineChars="200"/>
        <w:rPr>
          <w:rFonts w:hAnsi="宋体"/>
          <w:sz w:val="24"/>
          <w:szCs w:val="24"/>
        </w:rPr>
      </w:pPr>
      <w:r>
        <w:rPr>
          <w:rFonts w:hAnsi="宋体"/>
          <w:sz w:val="24"/>
          <w:szCs w:val="24"/>
        </w:rPr>
        <w:t>2.</w:t>
      </w:r>
      <w:r>
        <w:rPr>
          <w:rFonts w:hint="eastAsia" w:hAnsi="宋体" w:cs="宋体"/>
          <w:sz w:val="24"/>
          <w:szCs w:val="24"/>
        </w:rPr>
        <w:t>供货期：</w:t>
      </w:r>
      <w:r>
        <w:rPr>
          <w:rFonts w:hAnsi="宋体"/>
          <w:sz w:val="24"/>
          <w:szCs w:val="24"/>
          <w:u w:val="single"/>
        </w:rPr>
        <w:t xml:space="preserve">                </w:t>
      </w:r>
      <w:r>
        <w:rPr>
          <w:rFonts w:hAnsi="宋体"/>
          <w:sz w:val="24"/>
          <w:szCs w:val="24"/>
        </w:rPr>
        <w:t xml:space="preserve"> </w:t>
      </w:r>
      <w:r>
        <w:rPr>
          <w:rFonts w:hint="eastAsia" w:hAnsi="宋体" w:cs="宋体"/>
          <w:sz w:val="24"/>
          <w:szCs w:val="24"/>
        </w:rPr>
        <w:t>。</w:t>
      </w:r>
    </w:p>
    <w:p>
      <w:pPr>
        <w:spacing w:line="360" w:lineRule="auto"/>
        <w:ind w:firstLine="480" w:firstLineChars="200"/>
        <w:rPr>
          <w:rFonts w:hAnsi="宋体"/>
          <w:sz w:val="24"/>
          <w:szCs w:val="24"/>
        </w:rPr>
      </w:pPr>
      <w:r>
        <w:rPr>
          <w:rFonts w:hAnsi="宋体"/>
          <w:sz w:val="24"/>
          <w:szCs w:val="24"/>
        </w:rPr>
        <w:t>3.</w:t>
      </w:r>
      <w:r>
        <w:rPr>
          <w:rFonts w:hint="eastAsia" w:hAnsi="宋体" w:cs="宋体"/>
          <w:sz w:val="24"/>
          <w:szCs w:val="24"/>
        </w:rPr>
        <w:t>按招标的要求提供有关文件。</w:t>
      </w:r>
    </w:p>
    <w:p>
      <w:pPr>
        <w:spacing w:line="360" w:lineRule="auto"/>
        <w:ind w:firstLine="480" w:firstLineChars="200"/>
        <w:rPr>
          <w:rFonts w:hAnsi="宋体"/>
          <w:sz w:val="24"/>
          <w:szCs w:val="24"/>
        </w:rPr>
      </w:pPr>
      <w:r>
        <w:rPr>
          <w:rFonts w:hAnsi="宋体"/>
          <w:sz w:val="24"/>
          <w:szCs w:val="24"/>
        </w:rPr>
        <w:t>4.</w:t>
      </w:r>
      <w:r>
        <w:rPr>
          <w:rFonts w:hint="eastAsia" w:hAnsi="宋体" w:cs="宋体"/>
          <w:sz w:val="24"/>
          <w:szCs w:val="24"/>
        </w:rPr>
        <w:t>我公司愿意对上述项目进行报价。报价文件中所有关于供货商资格的文件、证明、陈述均是真实的、准确的。若有违背，我公司承担由此而产生的一切后果。</w:t>
      </w:r>
    </w:p>
    <w:p>
      <w:pPr>
        <w:spacing w:line="360" w:lineRule="auto"/>
        <w:ind w:firstLine="480" w:firstLineChars="200"/>
        <w:rPr>
          <w:rFonts w:hAnsi="宋体"/>
          <w:sz w:val="24"/>
          <w:szCs w:val="24"/>
        </w:rPr>
      </w:pPr>
      <w:r>
        <w:rPr>
          <w:rFonts w:hAnsi="宋体"/>
          <w:sz w:val="24"/>
          <w:szCs w:val="24"/>
        </w:rPr>
        <w:t>5.</w:t>
      </w:r>
      <w:r>
        <w:rPr>
          <w:rFonts w:hint="eastAsia" w:hAnsi="宋体" w:cs="宋体"/>
          <w:sz w:val="24"/>
          <w:szCs w:val="24"/>
        </w:rPr>
        <w:t>如采购人确定我方提供的产品，我方将按规定履行合同责任和义务。</w:t>
      </w:r>
    </w:p>
    <w:p>
      <w:pPr>
        <w:spacing w:line="360" w:lineRule="auto"/>
        <w:ind w:firstLine="480" w:firstLineChars="200"/>
        <w:rPr>
          <w:rFonts w:hAnsi="宋体"/>
          <w:sz w:val="24"/>
          <w:szCs w:val="24"/>
        </w:rPr>
      </w:pPr>
      <w:r>
        <w:rPr>
          <w:rFonts w:hAnsi="宋体"/>
          <w:sz w:val="24"/>
          <w:szCs w:val="24"/>
        </w:rPr>
        <w:t>6.</w:t>
      </w:r>
      <w:r>
        <w:rPr>
          <w:rFonts w:hint="eastAsia" w:hAnsi="宋体" w:cs="宋体"/>
          <w:sz w:val="24"/>
          <w:szCs w:val="24"/>
        </w:rPr>
        <w:t>本报价文件有效期为自递交投标文件之日起</w:t>
      </w:r>
      <w:r>
        <w:rPr>
          <w:rFonts w:hAnsi="宋体"/>
          <w:sz w:val="24"/>
          <w:szCs w:val="24"/>
        </w:rPr>
        <w:t>20</w:t>
      </w:r>
      <w:r>
        <w:rPr>
          <w:rFonts w:hint="eastAsia" w:hAnsi="宋体" w:cs="宋体"/>
          <w:sz w:val="24"/>
          <w:szCs w:val="24"/>
        </w:rPr>
        <w:t>个日历日。</w:t>
      </w:r>
    </w:p>
    <w:p>
      <w:pPr>
        <w:spacing w:line="360" w:lineRule="auto"/>
        <w:ind w:firstLine="480" w:firstLineChars="200"/>
        <w:rPr>
          <w:rFonts w:hAnsi="宋体"/>
          <w:sz w:val="24"/>
          <w:szCs w:val="24"/>
        </w:rPr>
      </w:pPr>
      <w:r>
        <w:rPr>
          <w:rFonts w:hAnsi="宋体"/>
          <w:sz w:val="24"/>
          <w:szCs w:val="24"/>
        </w:rPr>
        <w:t>7.</w:t>
      </w:r>
      <w:r>
        <w:rPr>
          <w:rFonts w:hint="eastAsia" w:hAnsi="宋体" w:cs="宋体"/>
          <w:sz w:val="24"/>
          <w:szCs w:val="24"/>
        </w:rPr>
        <w:t>与本报价有关的一切正式往来信函请寄。</w:t>
      </w:r>
    </w:p>
    <w:p>
      <w:pPr>
        <w:spacing w:line="360" w:lineRule="auto"/>
        <w:ind w:firstLine="540"/>
        <w:rPr>
          <w:rFonts w:hAnsi="宋体"/>
          <w:sz w:val="24"/>
          <w:szCs w:val="24"/>
        </w:rPr>
      </w:pPr>
    </w:p>
    <w:p>
      <w:pPr>
        <w:spacing w:line="360" w:lineRule="auto"/>
        <w:ind w:firstLine="540"/>
        <w:rPr>
          <w:rFonts w:hAnsi="宋体"/>
          <w:sz w:val="24"/>
          <w:szCs w:val="24"/>
        </w:rPr>
      </w:pPr>
      <w:r>
        <w:rPr>
          <w:rFonts w:hint="eastAsia" w:hAnsi="宋体" w:cs="宋体"/>
          <w:sz w:val="24"/>
          <w:szCs w:val="24"/>
        </w:rPr>
        <w:t>地址</w:t>
      </w:r>
      <w:r>
        <w:rPr>
          <w:rFonts w:hAnsi="宋体"/>
          <w:sz w:val="24"/>
          <w:szCs w:val="24"/>
        </w:rPr>
        <w:t xml:space="preserve">:  </w:t>
      </w:r>
      <w:r>
        <w:rPr>
          <w:rFonts w:hAnsi="宋体"/>
          <w:sz w:val="24"/>
          <w:szCs w:val="24"/>
          <w:u w:val="single"/>
        </w:rPr>
        <w:t xml:space="preserve">                          </w:t>
      </w:r>
      <w:r>
        <w:rPr>
          <w:rFonts w:hint="eastAsia" w:hAnsi="宋体" w:cs="宋体"/>
          <w:sz w:val="24"/>
          <w:szCs w:val="24"/>
        </w:rPr>
        <w:t>邮编</w:t>
      </w:r>
      <w:r>
        <w:rPr>
          <w:rFonts w:hAnsi="宋体"/>
          <w:sz w:val="24"/>
          <w:szCs w:val="24"/>
        </w:rPr>
        <w:t xml:space="preserve">: </w:t>
      </w:r>
      <w:r>
        <w:rPr>
          <w:rFonts w:hAnsi="宋体"/>
          <w:sz w:val="24"/>
          <w:szCs w:val="24"/>
          <w:u w:val="single"/>
        </w:rPr>
        <w:t xml:space="preserve">                       </w:t>
      </w:r>
    </w:p>
    <w:p>
      <w:pPr>
        <w:spacing w:line="360" w:lineRule="auto"/>
        <w:ind w:firstLine="540"/>
        <w:rPr>
          <w:rFonts w:hAnsi="宋体"/>
          <w:sz w:val="24"/>
          <w:szCs w:val="24"/>
        </w:rPr>
      </w:pPr>
      <w:r>
        <w:rPr>
          <w:rFonts w:hint="eastAsia" w:hAnsi="宋体" w:cs="宋体"/>
          <w:sz w:val="24"/>
          <w:szCs w:val="24"/>
        </w:rPr>
        <w:t>电话</w:t>
      </w:r>
      <w:r>
        <w:rPr>
          <w:rFonts w:hAnsi="宋体"/>
          <w:sz w:val="24"/>
          <w:szCs w:val="24"/>
        </w:rPr>
        <w:t xml:space="preserve">:  </w:t>
      </w:r>
      <w:r>
        <w:rPr>
          <w:rFonts w:hAnsi="宋体"/>
          <w:sz w:val="24"/>
          <w:szCs w:val="24"/>
          <w:u w:val="single"/>
        </w:rPr>
        <w:t xml:space="preserve">                          </w:t>
      </w:r>
      <w:r>
        <w:rPr>
          <w:rFonts w:hint="eastAsia" w:hAnsi="宋体" w:cs="宋体"/>
          <w:sz w:val="24"/>
          <w:szCs w:val="24"/>
        </w:rPr>
        <w:t>传真</w:t>
      </w:r>
      <w:r>
        <w:rPr>
          <w:rFonts w:hAnsi="宋体"/>
          <w:sz w:val="24"/>
          <w:szCs w:val="24"/>
        </w:rPr>
        <w:t xml:space="preserve">: </w:t>
      </w:r>
      <w:r>
        <w:rPr>
          <w:rFonts w:hAnsi="宋体"/>
          <w:sz w:val="24"/>
          <w:szCs w:val="24"/>
          <w:u w:val="single"/>
        </w:rPr>
        <w:t xml:space="preserve">                       </w:t>
      </w:r>
    </w:p>
    <w:p>
      <w:pPr>
        <w:spacing w:line="360" w:lineRule="auto"/>
        <w:ind w:firstLine="540"/>
        <w:rPr>
          <w:rFonts w:hAnsi="宋体"/>
          <w:sz w:val="24"/>
          <w:szCs w:val="24"/>
        </w:rPr>
      </w:pPr>
      <w:r>
        <w:rPr>
          <w:rFonts w:hint="eastAsia" w:hAnsi="宋体" w:cs="宋体"/>
          <w:sz w:val="24"/>
          <w:szCs w:val="24"/>
        </w:rPr>
        <w:t>授权代表签字</w:t>
      </w:r>
      <w:r>
        <w:rPr>
          <w:rFonts w:hAnsi="宋体"/>
          <w:sz w:val="24"/>
          <w:szCs w:val="24"/>
        </w:rPr>
        <w:t xml:space="preserve">: </w:t>
      </w:r>
      <w:r>
        <w:rPr>
          <w:rFonts w:hAnsi="宋体"/>
          <w:sz w:val="24"/>
          <w:szCs w:val="24"/>
          <w:u w:val="single"/>
        </w:rPr>
        <w:t xml:space="preserve">                    </w:t>
      </w:r>
    </w:p>
    <w:p>
      <w:pPr>
        <w:spacing w:line="360" w:lineRule="auto"/>
        <w:ind w:firstLine="540"/>
        <w:rPr>
          <w:rFonts w:hAnsi="宋体"/>
          <w:sz w:val="24"/>
          <w:szCs w:val="24"/>
        </w:rPr>
      </w:pPr>
      <w:r>
        <w:rPr>
          <w:rFonts w:hint="eastAsia" w:hAnsi="宋体" w:cs="宋体"/>
          <w:sz w:val="24"/>
          <w:szCs w:val="24"/>
        </w:rPr>
        <w:t>供应商名称</w:t>
      </w:r>
      <w:r>
        <w:rPr>
          <w:rFonts w:hAnsi="宋体"/>
          <w:sz w:val="24"/>
          <w:szCs w:val="24"/>
        </w:rPr>
        <w:t xml:space="preserve">: </w:t>
      </w:r>
      <w:r>
        <w:rPr>
          <w:rFonts w:hAnsi="宋体"/>
          <w:sz w:val="24"/>
          <w:szCs w:val="24"/>
          <w:u w:val="single"/>
        </w:rPr>
        <w:t xml:space="preserve">                      </w:t>
      </w:r>
    </w:p>
    <w:p>
      <w:pPr>
        <w:spacing w:line="360" w:lineRule="auto"/>
        <w:ind w:firstLine="540"/>
        <w:rPr>
          <w:rFonts w:hAnsi="宋体"/>
          <w:sz w:val="24"/>
          <w:szCs w:val="24"/>
        </w:rPr>
      </w:pPr>
      <w:r>
        <w:rPr>
          <w:rFonts w:hint="eastAsia" w:hAnsi="宋体" w:cs="宋体"/>
          <w:sz w:val="24"/>
          <w:szCs w:val="24"/>
        </w:rPr>
        <w:t>公</w:t>
      </w:r>
      <w:r>
        <w:rPr>
          <w:rFonts w:hAnsi="宋体"/>
          <w:sz w:val="24"/>
          <w:szCs w:val="24"/>
        </w:rPr>
        <w:t xml:space="preserve">  </w:t>
      </w:r>
      <w:r>
        <w:rPr>
          <w:rFonts w:hint="eastAsia" w:hAnsi="宋体" w:cs="宋体"/>
          <w:sz w:val="24"/>
          <w:szCs w:val="24"/>
        </w:rPr>
        <w:t>章</w:t>
      </w:r>
      <w:r>
        <w:rPr>
          <w:rFonts w:hAnsi="宋体"/>
          <w:sz w:val="24"/>
          <w:szCs w:val="24"/>
        </w:rPr>
        <w:t xml:space="preserve">: </w:t>
      </w:r>
      <w:r>
        <w:rPr>
          <w:rFonts w:hAnsi="宋体"/>
          <w:sz w:val="24"/>
          <w:szCs w:val="24"/>
          <w:u w:val="single"/>
        </w:rPr>
        <w:t xml:space="preserve">                          </w:t>
      </w:r>
    </w:p>
    <w:p>
      <w:pPr>
        <w:spacing w:line="360" w:lineRule="auto"/>
        <w:ind w:firstLine="540"/>
        <w:rPr>
          <w:rFonts w:hAnsi="宋体"/>
          <w:sz w:val="24"/>
          <w:szCs w:val="24"/>
        </w:rPr>
      </w:pPr>
      <w:r>
        <w:rPr>
          <w:rFonts w:hint="eastAsia" w:hAnsi="宋体" w:cs="宋体"/>
          <w:sz w:val="24"/>
          <w:szCs w:val="24"/>
        </w:rPr>
        <w:t>日</w:t>
      </w:r>
      <w:r>
        <w:rPr>
          <w:rFonts w:hAnsi="宋体"/>
          <w:sz w:val="24"/>
          <w:szCs w:val="24"/>
        </w:rPr>
        <w:t xml:space="preserve">  </w:t>
      </w:r>
      <w:r>
        <w:rPr>
          <w:rFonts w:hint="eastAsia" w:hAnsi="宋体" w:cs="宋体"/>
          <w:sz w:val="24"/>
          <w:szCs w:val="24"/>
        </w:rPr>
        <w:t>期</w:t>
      </w:r>
      <w:r>
        <w:rPr>
          <w:rFonts w:hAnsi="宋体"/>
          <w:sz w:val="24"/>
          <w:szCs w:val="24"/>
        </w:rPr>
        <w:t xml:space="preserve">: </w:t>
      </w:r>
      <w:r>
        <w:rPr>
          <w:rFonts w:hAnsi="宋体"/>
          <w:sz w:val="24"/>
          <w:szCs w:val="24"/>
          <w:u w:val="single"/>
        </w:rPr>
        <w:t xml:space="preserve">                          </w:t>
      </w:r>
    </w:p>
    <w:p>
      <w:pPr>
        <w:spacing w:line="360" w:lineRule="auto"/>
        <w:jc w:val="center"/>
        <w:textAlignment w:val="baseline"/>
        <w:rPr>
          <w:rFonts w:hAnsi="宋体"/>
          <w:b/>
          <w:bCs/>
          <w:sz w:val="24"/>
          <w:szCs w:val="24"/>
        </w:rPr>
      </w:pPr>
    </w:p>
    <w:p>
      <w:pPr>
        <w:rPr>
          <w:rFonts w:ascii="宋体" w:hAnsi="宋体" w:cs="宋体"/>
          <w:color w:val="000000"/>
        </w:rPr>
      </w:pPr>
      <w:bookmarkStart w:id="10" w:name="_Toc29144"/>
      <w:bookmarkStart w:id="11" w:name="_Toc312099393"/>
      <w:r>
        <w:rPr>
          <w:rFonts w:hint="eastAsia" w:ascii="宋体" w:hAnsi="宋体" w:cs="宋体"/>
          <w:color w:val="000000"/>
        </w:rPr>
        <w:br w:type="page"/>
      </w:r>
    </w:p>
    <w:p>
      <w:pPr>
        <w:pStyle w:val="3"/>
        <w:numPr>
          <w:ilvl w:val="0"/>
          <w:numId w:val="0"/>
        </w:numPr>
        <w:spacing w:line="360" w:lineRule="auto"/>
        <w:ind w:left="360"/>
        <w:rPr>
          <w:rFonts w:ascii="Calibri" w:hAnsi="Calibri" w:eastAsia="宋体" w:cs="Times New Roman"/>
          <w:b/>
          <w:bCs/>
          <w:kern w:val="28"/>
          <w:sz w:val="32"/>
          <w:szCs w:val="32"/>
        </w:rPr>
      </w:pPr>
      <w:r>
        <w:rPr>
          <w:rFonts w:hint="eastAsia" w:ascii="Calibri" w:hAnsi="Calibri" w:eastAsia="宋体" w:cs="Times New Roman"/>
          <w:b/>
          <w:bCs/>
          <w:kern w:val="28"/>
          <w:sz w:val="32"/>
          <w:szCs w:val="32"/>
        </w:rPr>
        <w:t>附件2 法定代表人授权书</w:t>
      </w:r>
      <w:bookmarkEnd w:id="10"/>
      <w:bookmarkEnd w:id="11"/>
    </w:p>
    <w:p>
      <w:pPr>
        <w:spacing w:line="360" w:lineRule="auto"/>
        <w:rPr>
          <w:rFonts w:hAnsi="宋体"/>
          <w:sz w:val="24"/>
          <w:szCs w:val="24"/>
        </w:rPr>
      </w:pPr>
    </w:p>
    <w:p>
      <w:pPr>
        <w:spacing w:line="360" w:lineRule="auto"/>
        <w:rPr>
          <w:rFonts w:hAnsi="宋体"/>
          <w:sz w:val="24"/>
          <w:szCs w:val="24"/>
        </w:rPr>
      </w:pPr>
      <w:r>
        <w:rPr>
          <w:rFonts w:hAnsi="宋体"/>
          <w:sz w:val="24"/>
          <w:szCs w:val="24"/>
        </w:rPr>
        <w:t xml:space="preserve">    </w:t>
      </w:r>
      <w:r>
        <w:rPr>
          <w:rFonts w:hint="eastAsia" w:hAnsi="宋体" w:cs="宋体"/>
          <w:sz w:val="24"/>
          <w:szCs w:val="24"/>
        </w:rPr>
        <w:t>本授权书声明</w:t>
      </w:r>
      <w:r>
        <w:rPr>
          <w:rFonts w:hAnsi="宋体"/>
          <w:sz w:val="24"/>
          <w:szCs w:val="24"/>
        </w:rPr>
        <w:t>:</w:t>
      </w:r>
      <w:r>
        <w:rPr>
          <w:rFonts w:hint="eastAsia" w:hAnsi="宋体" w:cs="宋体"/>
          <w:sz w:val="24"/>
          <w:szCs w:val="24"/>
        </w:rPr>
        <w:t>注册于</w:t>
      </w:r>
      <w:r>
        <w:rPr>
          <w:rFonts w:hAnsi="宋体"/>
          <w:sz w:val="24"/>
          <w:szCs w:val="24"/>
          <w:u w:val="single"/>
        </w:rPr>
        <w:t xml:space="preserve">                              (</w:t>
      </w:r>
      <w:r>
        <w:rPr>
          <w:rFonts w:hint="eastAsia" w:hAnsi="宋体" w:cs="宋体"/>
          <w:sz w:val="24"/>
          <w:szCs w:val="24"/>
          <w:u w:val="single"/>
        </w:rPr>
        <w:t>供应商全称</w:t>
      </w:r>
      <w:r>
        <w:rPr>
          <w:rFonts w:hAnsi="宋体"/>
          <w:sz w:val="24"/>
          <w:szCs w:val="24"/>
          <w:u w:val="single"/>
        </w:rPr>
        <w:t xml:space="preserve">) </w:t>
      </w:r>
      <w:r>
        <w:rPr>
          <w:rFonts w:hint="eastAsia" w:hAnsi="宋体" w:cs="宋体"/>
          <w:sz w:val="24"/>
          <w:szCs w:val="24"/>
        </w:rPr>
        <w:t>的法定代表人</w:t>
      </w:r>
      <w:r>
        <w:rPr>
          <w:rFonts w:hAnsi="宋体"/>
          <w:sz w:val="24"/>
          <w:szCs w:val="24"/>
          <w:u w:val="single"/>
        </w:rPr>
        <w:t xml:space="preserve">         (</w:t>
      </w:r>
      <w:r>
        <w:rPr>
          <w:rFonts w:hint="eastAsia" w:hAnsi="宋体" w:cs="宋体"/>
          <w:sz w:val="24"/>
          <w:szCs w:val="24"/>
          <w:u w:val="single"/>
        </w:rPr>
        <w:t>姓名</w:t>
      </w:r>
      <w:r>
        <w:rPr>
          <w:rFonts w:hAnsi="宋体"/>
          <w:sz w:val="24"/>
          <w:szCs w:val="24"/>
          <w:u w:val="single"/>
        </w:rPr>
        <w:t>)</w:t>
      </w:r>
      <w:r>
        <w:rPr>
          <w:rFonts w:hint="eastAsia" w:hAnsi="宋体" w:cs="宋体"/>
          <w:sz w:val="24"/>
          <w:szCs w:val="24"/>
        </w:rPr>
        <w:t>代表本公司授权</w:t>
      </w:r>
      <w:r>
        <w:rPr>
          <w:rFonts w:hint="eastAsia" w:hAnsi="宋体" w:cs="宋体"/>
          <w:sz w:val="24"/>
          <w:szCs w:val="24"/>
          <w:u w:val="single"/>
        </w:rPr>
        <w:t>　　　　　　　　　</w:t>
      </w:r>
      <w:r>
        <w:rPr>
          <w:rFonts w:hAnsi="宋体"/>
          <w:sz w:val="24"/>
          <w:szCs w:val="24"/>
        </w:rPr>
        <w:t xml:space="preserve"> (</w:t>
      </w:r>
      <w:r>
        <w:rPr>
          <w:rFonts w:hint="eastAsia" w:hAnsi="宋体" w:cs="宋体"/>
          <w:sz w:val="24"/>
          <w:szCs w:val="24"/>
        </w:rPr>
        <w:t>被授权人的姓名、职务</w:t>
      </w:r>
      <w:r>
        <w:rPr>
          <w:rFonts w:hAnsi="宋体"/>
          <w:sz w:val="24"/>
          <w:szCs w:val="24"/>
        </w:rPr>
        <w:t>)</w:t>
      </w:r>
      <w:r>
        <w:rPr>
          <w:rFonts w:hint="eastAsia" w:hAnsi="宋体" w:cs="宋体"/>
          <w:sz w:val="24"/>
          <w:szCs w:val="24"/>
        </w:rPr>
        <w:t>为本公司的合法代理人。就有关</w:t>
      </w:r>
      <w:r>
        <w:rPr>
          <w:rFonts w:hint="eastAsia" w:hAnsi="宋体" w:cs="宋体"/>
          <w:sz w:val="24"/>
          <w:szCs w:val="24"/>
          <w:u w:val="single"/>
        </w:rPr>
        <w:t>此</w:t>
      </w:r>
      <w:r>
        <w:rPr>
          <w:rFonts w:hint="eastAsia" w:hAnsi="宋体" w:cs="宋体"/>
          <w:sz w:val="24"/>
          <w:szCs w:val="24"/>
        </w:rPr>
        <w:t>次项目的采购、谈判、签约、履约的所有事宜，以本单位名义处理一切与之有关的事务。</w:t>
      </w:r>
    </w:p>
    <w:p>
      <w:pPr>
        <w:spacing w:line="360" w:lineRule="auto"/>
        <w:rPr>
          <w:rFonts w:hAnsi="宋体"/>
          <w:sz w:val="24"/>
          <w:szCs w:val="24"/>
        </w:rPr>
      </w:pPr>
    </w:p>
    <w:p>
      <w:pPr>
        <w:spacing w:line="360" w:lineRule="auto"/>
        <w:ind w:left="439" w:leftChars="209"/>
        <w:rPr>
          <w:rFonts w:hAnsi="宋体"/>
          <w:sz w:val="24"/>
          <w:szCs w:val="24"/>
        </w:rPr>
      </w:pPr>
      <w:r>
        <w:rPr>
          <w:rFonts w:hint="eastAsia" w:hAnsi="宋体" w:cs="宋体"/>
          <w:sz w:val="24"/>
          <w:szCs w:val="24"/>
        </w:rPr>
        <w:t>本授权书于</w:t>
      </w:r>
      <w:r>
        <w:rPr>
          <w:rFonts w:hint="eastAsia" w:hAnsi="宋体" w:cs="宋体"/>
          <w:sz w:val="24"/>
          <w:szCs w:val="24"/>
          <w:u w:val="single"/>
        </w:rPr>
        <w:t>　　　　</w:t>
      </w:r>
      <w:r>
        <w:rPr>
          <w:rFonts w:hint="eastAsia" w:hAnsi="宋体" w:cs="宋体"/>
          <w:sz w:val="24"/>
          <w:szCs w:val="24"/>
        </w:rPr>
        <w:t>年</w:t>
      </w:r>
      <w:r>
        <w:rPr>
          <w:rFonts w:hint="eastAsia" w:hAnsi="宋体" w:cs="宋体"/>
          <w:sz w:val="24"/>
          <w:szCs w:val="24"/>
          <w:u w:val="single"/>
        </w:rPr>
        <w:t>　　　</w:t>
      </w:r>
      <w:r>
        <w:rPr>
          <w:rFonts w:hAnsi="宋体"/>
          <w:sz w:val="24"/>
          <w:szCs w:val="24"/>
          <w:u w:val="single"/>
        </w:rPr>
        <w:t xml:space="preserve"> </w:t>
      </w:r>
      <w:r>
        <w:rPr>
          <w:rFonts w:hint="eastAsia" w:hAnsi="宋体" w:cs="宋体"/>
          <w:sz w:val="24"/>
          <w:szCs w:val="24"/>
        </w:rPr>
        <w:t>月</w:t>
      </w:r>
      <w:r>
        <w:rPr>
          <w:rFonts w:hint="eastAsia" w:hAnsi="宋体" w:cs="宋体"/>
          <w:sz w:val="24"/>
          <w:szCs w:val="24"/>
          <w:u w:val="single"/>
        </w:rPr>
        <w:t>　　　　</w:t>
      </w:r>
      <w:r>
        <w:rPr>
          <w:rFonts w:hint="eastAsia" w:hAnsi="宋体" w:cs="宋体"/>
          <w:sz w:val="24"/>
          <w:szCs w:val="24"/>
        </w:rPr>
        <w:t>日签字生效，特此声明。</w:t>
      </w:r>
    </w:p>
    <w:p>
      <w:pPr>
        <w:spacing w:line="360" w:lineRule="auto"/>
        <w:ind w:left="439" w:leftChars="209"/>
        <w:rPr>
          <w:rFonts w:hAnsi="宋体"/>
          <w:sz w:val="24"/>
          <w:szCs w:val="24"/>
        </w:rPr>
      </w:pPr>
    </w:p>
    <w:p>
      <w:pPr>
        <w:spacing w:line="360" w:lineRule="auto"/>
        <w:ind w:left="439" w:leftChars="209"/>
        <w:rPr>
          <w:rFonts w:hAnsi="宋体"/>
          <w:sz w:val="24"/>
          <w:szCs w:val="24"/>
        </w:rPr>
      </w:pPr>
      <w:r>
        <w:rPr>
          <w:rFonts w:hint="eastAsia" w:hAnsi="宋体" w:cs="宋体"/>
          <w:sz w:val="24"/>
          <w:szCs w:val="24"/>
        </w:rPr>
        <w:t>法定代表人签字</w:t>
      </w:r>
      <w:r>
        <w:rPr>
          <w:rFonts w:hAnsi="宋体"/>
          <w:sz w:val="24"/>
          <w:szCs w:val="24"/>
        </w:rPr>
        <w:t>(</w:t>
      </w:r>
      <w:r>
        <w:rPr>
          <w:rFonts w:hint="eastAsia" w:hAnsi="宋体" w:cs="宋体"/>
          <w:sz w:val="24"/>
          <w:szCs w:val="24"/>
        </w:rPr>
        <w:t>或盖章</w:t>
      </w:r>
      <w:r>
        <w:rPr>
          <w:rFonts w:hAnsi="宋体"/>
          <w:sz w:val="24"/>
          <w:szCs w:val="24"/>
        </w:rPr>
        <w:t>)</w:t>
      </w:r>
      <w:r>
        <w:rPr>
          <w:rFonts w:hint="eastAsia" w:hAnsi="宋体" w:cs="宋体"/>
          <w:sz w:val="24"/>
          <w:szCs w:val="24"/>
        </w:rPr>
        <w:t>：</w:t>
      </w:r>
    </w:p>
    <w:p>
      <w:pPr>
        <w:spacing w:line="360" w:lineRule="auto"/>
        <w:ind w:left="439" w:leftChars="209"/>
        <w:rPr>
          <w:rFonts w:hAnsi="宋体"/>
          <w:sz w:val="24"/>
          <w:szCs w:val="24"/>
        </w:rPr>
      </w:pPr>
    </w:p>
    <w:p>
      <w:pPr>
        <w:spacing w:line="360" w:lineRule="auto"/>
        <w:ind w:left="439" w:leftChars="209"/>
        <w:rPr>
          <w:rFonts w:hAnsi="宋体"/>
          <w:sz w:val="24"/>
          <w:szCs w:val="24"/>
        </w:rPr>
      </w:pPr>
      <w:r>
        <w:rPr>
          <w:rFonts w:hint="eastAsia" w:hAnsi="宋体" w:cs="宋体"/>
          <w:sz w:val="24"/>
          <w:szCs w:val="24"/>
        </w:rPr>
        <w:t>被授权人签字</w:t>
      </w:r>
      <w:r>
        <w:rPr>
          <w:rFonts w:hAnsi="宋体"/>
          <w:sz w:val="24"/>
          <w:szCs w:val="24"/>
        </w:rPr>
        <w:t>(</w:t>
      </w:r>
      <w:r>
        <w:rPr>
          <w:rFonts w:hint="eastAsia" w:hAnsi="宋体" w:cs="宋体"/>
          <w:sz w:val="24"/>
          <w:szCs w:val="24"/>
        </w:rPr>
        <w:t>或盖章</w:t>
      </w:r>
      <w:r>
        <w:rPr>
          <w:rFonts w:hAnsi="宋体"/>
          <w:sz w:val="24"/>
          <w:szCs w:val="24"/>
        </w:rPr>
        <w:t>)</w:t>
      </w:r>
      <w:r>
        <w:rPr>
          <w:rFonts w:hint="eastAsia" w:hAnsi="宋体" w:cs="宋体"/>
          <w:sz w:val="24"/>
          <w:szCs w:val="24"/>
        </w:rPr>
        <w:t>：</w:t>
      </w:r>
    </w:p>
    <w:p>
      <w:pPr>
        <w:spacing w:line="360" w:lineRule="auto"/>
        <w:ind w:left="439" w:leftChars="209"/>
        <w:rPr>
          <w:rFonts w:hAnsi="宋体"/>
          <w:sz w:val="24"/>
          <w:szCs w:val="24"/>
        </w:rPr>
      </w:pPr>
    </w:p>
    <w:p>
      <w:pPr>
        <w:spacing w:line="360" w:lineRule="auto"/>
        <w:ind w:left="439" w:leftChars="209"/>
        <w:rPr>
          <w:rFonts w:hAnsi="宋体"/>
          <w:sz w:val="24"/>
          <w:szCs w:val="24"/>
        </w:rPr>
      </w:pPr>
      <w:r>
        <w:rPr>
          <w:rFonts w:hint="eastAsia" w:hAnsi="宋体" w:cs="宋体"/>
          <w:sz w:val="24"/>
          <w:szCs w:val="24"/>
        </w:rPr>
        <w:t>被授权人职务：</w:t>
      </w:r>
    </w:p>
    <w:p>
      <w:pPr>
        <w:spacing w:line="360" w:lineRule="auto"/>
        <w:ind w:left="439" w:leftChars="209"/>
        <w:rPr>
          <w:rFonts w:hAnsi="宋体"/>
          <w:sz w:val="24"/>
          <w:szCs w:val="24"/>
        </w:rPr>
      </w:pPr>
    </w:p>
    <w:p>
      <w:pPr>
        <w:spacing w:line="360" w:lineRule="auto"/>
        <w:ind w:left="439" w:leftChars="209"/>
        <w:rPr>
          <w:rFonts w:hAnsi="宋体"/>
          <w:sz w:val="24"/>
          <w:szCs w:val="24"/>
        </w:rPr>
      </w:pPr>
      <w:r>
        <w:rPr>
          <w:rFonts w:hint="eastAsia" w:hAnsi="宋体" w:cs="宋体"/>
          <w:sz w:val="24"/>
          <w:szCs w:val="24"/>
        </w:rPr>
        <w:t>供应商名称</w:t>
      </w:r>
      <w:r>
        <w:rPr>
          <w:rFonts w:hAnsi="宋体"/>
          <w:sz w:val="24"/>
          <w:szCs w:val="24"/>
        </w:rPr>
        <w:t xml:space="preserve"> (</w:t>
      </w:r>
      <w:r>
        <w:rPr>
          <w:rFonts w:hint="eastAsia" w:hAnsi="宋体" w:cs="宋体"/>
          <w:sz w:val="24"/>
          <w:szCs w:val="24"/>
        </w:rPr>
        <w:t>加盖公章</w:t>
      </w:r>
      <w:r>
        <w:rPr>
          <w:rFonts w:hAnsi="宋体"/>
          <w:sz w:val="24"/>
          <w:szCs w:val="24"/>
        </w:rPr>
        <w:t>)</w:t>
      </w:r>
      <w:r>
        <w:rPr>
          <w:rFonts w:hint="eastAsia" w:hAnsi="宋体" w:cs="宋体"/>
          <w:sz w:val="24"/>
          <w:szCs w:val="24"/>
        </w:rPr>
        <w:t>：</w:t>
      </w:r>
    </w:p>
    <w:p>
      <w:pPr>
        <w:spacing w:line="360" w:lineRule="auto"/>
        <w:ind w:left="439" w:leftChars="209"/>
        <w:rPr>
          <w:rFonts w:hAnsi="宋体"/>
          <w:sz w:val="24"/>
          <w:szCs w:val="24"/>
        </w:rPr>
      </w:pPr>
    </w:p>
    <w:p>
      <w:pPr>
        <w:spacing w:line="360" w:lineRule="auto"/>
        <w:ind w:left="439" w:leftChars="209"/>
        <w:rPr>
          <w:rFonts w:hAnsi="宋体"/>
          <w:sz w:val="24"/>
          <w:szCs w:val="24"/>
        </w:rPr>
      </w:pPr>
      <w:r>
        <w:rPr>
          <w:rFonts w:hint="eastAsia" w:hAnsi="宋体" w:cs="宋体"/>
          <w:sz w:val="24"/>
          <w:szCs w:val="24"/>
        </w:rPr>
        <w:t>单位电话：</w:t>
      </w:r>
    </w:p>
    <w:p>
      <w:pPr>
        <w:spacing w:line="360" w:lineRule="auto"/>
        <w:ind w:left="439" w:leftChars="209"/>
        <w:rPr>
          <w:rFonts w:hAnsi="宋体"/>
          <w:sz w:val="24"/>
          <w:szCs w:val="24"/>
        </w:rPr>
      </w:pPr>
    </w:p>
    <w:p>
      <w:pPr>
        <w:spacing w:line="360" w:lineRule="auto"/>
        <w:ind w:left="439" w:leftChars="209"/>
        <w:rPr>
          <w:rFonts w:hAnsi="宋体"/>
          <w:sz w:val="24"/>
          <w:szCs w:val="24"/>
        </w:rPr>
      </w:pPr>
      <w:r>
        <w:rPr>
          <w:rFonts w:hint="eastAsia" w:hAnsi="宋体" w:cs="宋体"/>
          <w:sz w:val="24"/>
          <w:szCs w:val="24"/>
        </w:rPr>
        <w:t>地址：</w:t>
      </w:r>
    </w:p>
    <w:p>
      <w:pPr>
        <w:spacing w:line="360" w:lineRule="auto"/>
        <w:ind w:left="439" w:leftChars="209"/>
        <w:rPr>
          <w:rFonts w:hAnsi="宋体"/>
          <w:sz w:val="24"/>
          <w:szCs w:val="24"/>
        </w:rPr>
      </w:pPr>
    </w:p>
    <w:p>
      <w:pPr>
        <w:spacing w:line="360" w:lineRule="auto"/>
        <w:ind w:left="439" w:leftChars="209"/>
        <w:rPr>
          <w:rFonts w:hAnsi="宋体"/>
          <w:sz w:val="24"/>
          <w:szCs w:val="24"/>
        </w:rPr>
      </w:pPr>
      <w:r>
        <w:rPr>
          <w:rFonts w:hint="eastAsia" w:hAnsi="宋体" w:cs="宋体"/>
          <w:sz w:val="24"/>
          <w:szCs w:val="24"/>
        </w:rPr>
        <w:t>签发日期：</w:t>
      </w:r>
      <w:r>
        <w:rPr>
          <w:rFonts w:hint="eastAsia" w:hAnsi="宋体" w:cs="宋体"/>
          <w:sz w:val="24"/>
          <w:szCs w:val="24"/>
          <w:u w:val="single"/>
        </w:rPr>
        <w:t>　　　　</w:t>
      </w:r>
      <w:r>
        <w:rPr>
          <w:rFonts w:hint="eastAsia" w:hAnsi="宋体" w:cs="宋体"/>
          <w:sz w:val="24"/>
          <w:szCs w:val="24"/>
        </w:rPr>
        <w:t>年</w:t>
      </w:r>
      <w:r>
        <w:rPr>
          <w:rFonts w:hint="eastAsia" w:hAnsi="宋体" w:cs="宋体"/>
          <w:sz w:val="24"/>
          <w:szCs w:val="24"/>
          <w:u w:val="single"/>
        </w:rPr>
        <w:t>　　　　</w:t>
      </w:r>
      <w:r>
        <w:rPr>
          <w:rFonts w:hint="eastAsia" w:hAnsi="宋体" w:cs="宋体"/>
          <w:sz w:val="24"/>
          <w:szCs w:val="24"/>
        </w:rPr>
        <w:t>月</w:t>
      </w:r>
      <w:r>
        <w:rPr>
          <w:rFonts w:hint="eastAsia" w:hAnsi="宋体" w:cs="宋体"/>
          <w:sz w:val="24"/>
          <w:szCs w:val="24"/>
          <w:u w:val="single"/>
        </w:rPr>
        <w:t>　　　　</w:t>
      </w:r>
      <w:r>
        <w:rPr>
          <w:rFonts w:hint="eastAsia" w:hAnsi="宋体" w:cs="宋体"/>
          <w:sz w:val="24"/>
          <w:szCs w:val="24"/>
        </w:rPr>
        <w:t>日</w:t>
      </w:r>
    </w:p>
    <w:p>
      <w:pPr>
        <w:pStyle w:val="3"/>
        <w:numPr>
          <w:ilvl w:val="0"/>
          <w:numId w:val="0"/>
        </w:numPr>
        <w:spacing w:line="360" w:lineRule="auto"/>
        <w:ind w:left="360"/>
        <w:rPr>
          <w:rFonts w:ascii="Calibri" w:hAnsi="Calibri" w:eastAsia="宋体" w:cs="Times New Roman"/>
          <w:b/>
          <w:bCs/>
          <w:kern w:val="28"/>
          <w:sz w:val="32"/>
          <w:szCs w:val="32"/>
        </w:rPr>
      </w:pPr>
      <w:r>
        <w:rPr>
          <w:rFonts w:hAnsi="宋体"/>
          <w:color w:val="000000"/>
        </w:rPr>
        <w:br w:type="page"/>
      </w:r>
      <w:bookmarkStart w:id="12" w:name="_Toc312099394"/>
      <w:bookmarkStart w:id="13" w:name="_Toc143067480"/>
      <w:bookmarkStart w:id="14" w:name="_Toc29199"/>
      <w:r>
        <w:rPr>
          <w:rFonts w:hint="eastAsia" w:ascii="Calibri" w:hAnsi="Calibri" w:eastAsia="宋体" w:cs="Times New Roman"/>
          <w:b/>
          <w:bCs/>
          <w:kern w:val="28"/>
          <w:sz w:val="32"/>
          <w:szCs w:val="32"/>
        </w:rPr>
        <w:t>附件3 报  价  表</w:t>
      </w:r>
      <w:bookmarkEnd w:id="12"/>
      <w:bookmarkEnd w:id="13"/>
      <w:bookmarkEnd w:id="14"/>
    </w:p>
    <w:p>
      <w:pPr>
        <w:autoSpaceDE w:val="0"/>
        <w:autoSpaceDN w:val="0"/>
        <w:adjustRightInd w:val="0"/>
        <w:spacing w:line="360" w:lineRule="auto"/>
        <w:jc w:val="center"/>
        <w:rPr>
          <w:rFonts w:hAnsi="宋体"/>
          <w:sz w:val="36"/>
          <w:szCs w:val="36"/>
          <w:lang w:val="zh-CN"/>
        </w:rPr>
      </w:pPr>
    </w:p>
    <w:p>
      <w:pPr>
        <w:autoSpaceDE w:val="0"/>
        <w:autoSpaceDN w:val="0"/>
        <w:adjustRightInd w:val="0"/>
        <w:spacing w:line="360" w:lineRule="auto"/>
        <w:rPr>
          <w:rFonts w:hAnsi="宋体"/>
          <w:sz w:val="24"/>
          <w:szCs w:val="24"/>
        </w:rPr>
      </w:pPr>
      <w:r>
        <w:rPr>
          <w:rFonts w:hint="eastAsia" w:hAnsi="宋体" w:cs="宋体"/>
          <w:sz w:val="24"/>
          <w:szCs w:val="24"/>
          <w:lang w:val="zh-CN"/>
        </w:rPr>
        <w:t>项目名称：</w:t>
      </w:r>
      <w:r>
        <w:rPr>
          <w:rFonts w:hint="eastAsia" w:hAnsi="宋体" w:cs="宋体"/>
          <w:sz w:val="24"/>
          <w:szCs w:val="24"/>
        </w:rPr>
        <w:t>辽宁对外经贸学院数据中心建设项目</w:t>
      </w:r>
    </w:p>
    <w:p>
      <w:pPr>
        <w:autoSpaceDE w:val="0"/>
        <w:autoSpaceDN w:val="0"/>
        <w:adjustRightInd w:val="0"/>
        <w:spacing w:line="360" w:lineRule="auto"/>
        <w:ind w:firstLine="7440" w:firstLineChars="3100"/>
        <w:rPr>
          <w:rFonts w:hAnsi="宋体"/>
          <w:sz w:val="24"/>
          <w:szCs w:val="24"/>
        </w:rPr>
      </w:pPr>
      <w:r>
        <w:rPr>
          <w:rFonts w:hint="eastAsia" w:hAnsi="宋体" w:cs="宋体"/>
          <w:sz w:val="24"/>
          <w:szCs w:val="24"/>
        </w:rPr>
        <w:t>单位：元</w:t>
      </w:r>
    </w:p>
    <w:tbl>
      <w:tblPr>
        <w:tblStyle w:val="24"/>
        <w:tblW w:w="80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1597"/>
        <w:gridCol w:w="748"/>
        <w:gridCol w:w="855"/>
        <w:gridCol w:w="1260"/>
        <w:gridCol w:w="1375"/>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886" w:type="dxa"/>
            <w:vAlign w:val="center"/>
          </w:tcPr>
          <w:p>
            <w:pPr>
              <w:autoSpaceDE w:val="0"/>
              <w:autoSpaceDN w:val="0"/>
              <w:adjustRightInd w:val="0"/>
              <w:spacing w:line="360" w:lineRule="auto"/>
              <w:jc w:val="center"/>
              <w:rPr>
                <w:rFonts w:hAnsi="宋体"/>
                <w:b/>
                <w:bCs/>
                <w:lang w:val="zh-CN"/>
              </w:rPr>
            </w:pPr>
            <w:r>
              <w:rPr>
                <w:rFonts w:hint="eastAsia" w:hAnsi="宋体" w:cs="宋体"/>
                <w:b/>
                <w:bCs/>
                <w:lang w:val="zh-CN"/>
              </w:rPr>
              <w:t>序号</w:t>
            </w:r>
          </w:p>
        </w:tc>
        <w:tc>
          <w:tcPr>
            <w:tcW w:w="1597" w:type="dxa"/>
            <w:vAlign w:val="center"/>
          </w:tcPr>
          <w:p>
            <w:pPr>
              <w:autoSpaceDE w:val="0"/>
              <w:autoSpaceDN w:val="0"/>
              <w:adjustRightInd w:val="0"/>
              <w:spacing w:line="360" w:lineRule="auto"/>
              <w:jc w:val="center"/>
              <w:rPr>
                <w:rFonts w:hAnsi="宋体"/>
                <w:b/>
                <w:bCs/>
                <w:lang w:val="zh-CN"/>
              </w:rPr>
            </w:pPr>
            <w:r>
              <w:rPr>
                <w:rFonts w:hint="eastAsia" w:hAnsi="宋体" w:cs="宋体"/>
                <w:b/>
                <w:bCs/>
                <w:lang w:val="zh-CN"/>
              </w:rPr>
              <w:t>项目名称</w:t>
            </w:r>
          </w:p>
        </w:tc>
        <w:tc>
          <w:tcPr>
            <w:tcW w:w="748" w:type="dxa"/>
            <w:vAlign w:val="center"/>
          </w:tcPr>
          <w:p>
            <w:pPr>
              <w:autoSpaceDE w:val="0"/>
              <w:autoSpaceDN w:val="0"/>
              <w:adjustRightInd w:val="0"/>
              <w:spacing w:line="360" w:lineRule="auto"/>
              <w:ind w:firstLine="105" w:firstLineChars="50"/>
              <w:jc w:val="center"/>
              <w:rPr>
                <w:rFonts w:hAnsi="宋体"/>
                <w:b/>
                <w:bCs/>
                <w:lang w:val="zh-CN"/>
              </w:rPr>
            </w:pPr>
            <w:r>
              <w:rPr>
                <w:rFonts w:hint="eastAsia" w:hAnsi="宋体" w:cs="宋体"/>
                <w:b/>
                <w:bCs/>
                <w:lang w:val="zh-CN"/>
              </w:rPr>
              <w:t>数量</w:t>
            </w:r>
          </w:p>
        </w:tc>
        <w:tc>
          <w:tcPr>
            <w:tcW w:w="855" w:type="dxa"/>
            <w:vAlign w:val="center"/>
          </w:tcPr>
          <w:p>
            <w:pPr>
              <w:autoSpaceDE w:val="0"/>
              <w:autoSpaceDN w:val="0"/>
              <w:adjustRightInd w:val="0"/>
              <w:spacing w:line="360" w:lineRule="auto"/>
              <w:ind w:firstLine="105" w:firstLineChars="50"/>
              <w:jc w:val="center"/>
              <w:rPr>
                <w:rFonts w:hAnsi="宋体"/>
                <w:b/>
                <w:bCs/>
                <w:lang w:val="zh-CN"/>
              </w:rPr>
            </w:pPr>
            <w:r>
              <w:rPr>
                <w:rFonts w:hint="eastAsia" w:hAnsi="宋体" w:cs="宋体"/>
                <w:b/>
                <w:bCs/>
                <w:lang w:val="zh-CN"/>
              </w:rPr>
              <w:t>单位</w:t>
            </w:r>
          </w:p>
        </w:tc>
        <w:tc>
          <w:tcPr>
            <w:tcW w:w="1260" w:type="dxa"/>
            <w:vAlign w:val="center"/>
          </w:tcPr>
          <w:p>
            <w:pPr>
              <w:autoSpaceDE w:val="0"/>
              <w:autoSpaceDN w:val="0"/>
              <w:adjustRightInd w:val="0"/>
              <w:spacing w:line="360" w:lineRule="auto"/>
              <w:ind w:firstLine="105" w:firstLineChars="50"/>
              <w:jc w:val="center"/>
              <w:rPr>
                <w:rFonts w:hAnsi="宋体"/>
                <w:b/>
                <w:bCs/>
                <w:lang w:val="zh-CN"/>
              </w:rPr>
            </w:pPr>
            <w:r>
              <w:rPr>
                <w:rFonts w:hint="eastAsia" w:hAnsi="宋体" w:cs="宋体"/>
                <w:b/>
                <w:bCs/>
                <w:lang w:val="zh-CN"/>
              </w:rPr>
              <w:t>单价</w:t>
            </w:r>
          </w:p>
        </w:tc>
        <w:tc>
          <w:tcPr>
            <w:tcW w:w="1375" w:type="dxa"/>
            <w:vAlign w:val="center"/>
          </w:tcPr>
          <w:p>
            <w:pPr>
              <w:autoSpaceDE w:val="0"/>
              <w:autoSpaceDN w:val="0"/>
              <w:adjustRightInd w:val="0"/>
              <w:spacing w:line="360" w:lineRule="auto"/>
              <w:jc w:val="center"/>
              <w:rPr>
                <w:rFonts w:hAnsi="宋体"/>
                <w:b/>
                <w:bCs/>
                <w:lang w:val="zh-CN"/>
              </w:rPr>
            </w:pPr>
            <w:r>
              <w:rPr>
                <w:rFonts w:hint="eastAsia" w:hAnsi="宋体" w:cs="宋体"/>
                <w:b/>
                <w:bCs/>
                <w:lang w:val="zh-CN"/>
              </w:rPr>
              <w:t>合计</w:t>
            </w:r>
          </w:p>
        </w:tc>
        <w:tc>
          <w:tcPr>
            <w:tcW w:w="1295" w:type="dxa"/>
            <w:vAlign w:val="center"/>
          </w:tcPr>
          <w:p>
            <w:pPr>
              <w:autoSpaceDE w:val="0"/>
              <w:autoSpaceDN w:val="0"/>
              <w:adjustRightInd w:val="0"/>
              <w:spacing w:line="360" w:lineRule="auto"/>
              <w:jc w:val="center"/>
              <w:rPr>
                <w:rFonts w:hAnsi="宋体"/>
                <w:b/>
                <w:bCs/>
                <w:lang w:val="zh-CN"/>
              </w:rPr>
            </w:pPr>
            <w:r>
              <w:rPr>
                <w:rFonts w:hint="eastAsia" w:hAnsi="宋体" w:cs="宋体"/>
                <w:b/>
                <w:bCs/>
                <w:lang w:val="zh-CN"/>
              </w:rPr>
              <w:t>保修期（年）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886" w:type="dxa"/>
            <w:vAlign w:val="center"/>
          </w:tcPr>
          <w:p>
            <w:pPr>
              <w:autoSpaceDE w:val="0"/>
              <w:autoSpaceDN w:val="0"/>
              <w:adjustRightInd w:val="0"/>
              <w:spacing w:line="360" w:lineRule="auto"/>
              <w:jc w:val="center"/>
              <w:rPr>
                <w:rFonts w:hAnsi="宋体"/>
                <w:lang w:val="zh-CN"/>
              </w:rPr>
            </w:pPr>
            <w:r>
              <w:rPr>
                <w:rFonts w:hAnsi="宋体"/>
                <w:lang w:val="zh-CN"/>
              </w:rPr>
              <w:t>1</w:t>
            </w:r>
          </w:p>
        </w:tc>
        <w:tc>
          <w:tcPr>
            <w:tcW w:w="1597" w:type="dxa"/>
            <w:vAlign w:val="center"/>
          </w:tcPr>
          <w:p>
            <w:pPr>
              <w:autoSpaceDE w:val="0"/>
              <w:autoSpaceDN w:val="0"/>
              <w:adjustRightInd w:val="0"/>
              <w:spacing w:line="360" w:lineRule="auto"/>
              <w:rPr>
                <w:rFonts w:hAnsi="宋体"/>
                <w:lang w:val="zh-CN"/>
              </w:rPr>
            </w:pPr>
            <w:r>
              <w:rPr>
                <w:rFonts w:hint="eastAsia" w:ascii="宋体" w:hAnsi="宋体" w:cs="宋体"/>
              </w:rPr>
              <w:t>服务器（例）</w:t>
            </w:r>
          </w:p>
        </w:tc>
        <w:tc>
          <w:tcPr>
            <w:tcW w:w="748" w:type="dxa"/>
            <w:vAlign w:val="center"/>
          </w:tcPr>
          <w:p>
            <w:pPr>
              <w:autoSpaceDE w:val="0"/>
              <w:autoSpaceDN w:val="0"/>
              <w:adjustRightInd w:val="0"/>
              <w:spacing w:line="360" w:lineRule="auto"/>
              <w:ind w:firstLine="105" w:firstLineChars="50"/>
              <w:jc w:val="center"/>
              <w:rPr>
                <w:rFonts w:hAnsi="宋体"/>
                <w:lang w:val="zh-CN"/>
              </w:rPr>
            </w:pPr>
            <w:r>
              <w:rPr>
                <w:rFonts w:hint="eastAsia" w:hAnsi="宋体"/>
              </w:rPr>
              <w:t>6</w:t>
            </w:r>
          </w:p>
        </w:tc>
        <w:tc>
          <w:tcPr>
            <w:tcW w:w="855" w:type="dxa"/>
            <w:vAlign w:val="center"/>
          </w:tcPr>
          <w:p>
            <w:pPr>
              <w:autoSpaceDE w:val="0"/>
              <w:autoSpaceDN w:val="0"/>
              <w:adjustRightInd w:val="0"/>
              <w:spacing w:line="360" w:lineRule="auto"/>
              <w:ind w:firstLine="105" w:firstLineChars="50"/>
              <w:rPr>
                <w:rFonts w:hAnsi="宋体"/>
                <w:lang w:val="zh-CN"/>
              </w:rPr>
            </w:pPr>
            <w:r>
              <w:rPr>
                <w:rFonts w:hint="eastAsia" w:hAnsi="宋体" w:cs="宋体"/>
                <w:lang w:val="zh-CN"/>
              </w:rPr>
              <w:t>台</w:t>
            </w:r>
          </w:p>
        </w:tc>
        <w:tc>
          <w:tcPr>
            <w:tcW w:w="1260" w:type="dxa"/>
            <w:vAlign w:val="center"/>
          </w:tcPr>
          <w:p>
            <w:pPr>
              <w:autoSpaceDE w:val="0"/>
              <w:autoSpaceDN w:val="0"/>
              <w:adjustRightInd w:val="0"/>
              <w:spacing w:line="360" w:lineRule="auto"/>
              <w:ind w:firstLine="105" w:firstLineChars="50"/>
              <w:rPr>
                <w:rFonts w:hAnsi="宋体"/>
                <w:lang w:val="zh-CN"/>
              </w:rPr>
            </w:pPr>
          </w:p>
        </w:tc>
        <w:tc>
          <w:tcPr>
            <w:tcW w:w="1375" w:type="dxa"/>
            <w:vAlign w:val="center"/>
          </w:tcPr>
          <w:p>
            <w:pPr>
              <w:autoSpaceDE w:val="0"/>
              <w:autoSpaceDN w:val="0"/>
              <w:adjustRightInd w:val="0"/>
              <w:spacing w:line="360" w:lineRule="auto"/>
              <w:rPr>
                <w:rFonts w:hAnsi="宋体"/>
                <w:lang w:val="zh-CN"/>
              </w:rPr>
            </w:pPr>
          </w:p>
        </w:tc>
        <w:tc>
          <w:tcPr>
            <w:tcW w:w="1295" w:type="dxa"/>
          </w:tcPr>
          <w:p>
            <w:pPr>
              <w:autoSpaceDE w:val="0"/>
              <w:autoSpaceDN w:val="0"/>
              <w:adjustRightInd w:val="0"/>
              <w:spacing w:line="360" w:lineRule="auto"/>
              <w:rPr>
                <w:rFonts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346" w:type="dxa"/>
            <w:gridSpan w:val="5"/>
            <w:vAlign w:val="center"/>
          </w:tcPr>
          <w:p>
            <w:pPr>
              <w:autoSpaceDE w:val="0"/>
              <w:autoSpaceDN w:val="0"/>
              <w:adjustRightInd w:val="0"/>
              <w:spacing w:line="360" w:lineRule="auto"/>
              <w:jc w:val="center"/>
              <w:rPr>
                <w:rFonts w:hAnsi="宋体"/>
                <w:lang w:val="zh-CN"/>
              </w:rPr>
            </w:pPr>
            <w:r>
              <w:rPr>
                <w:rFonts w:hint="eastAsia" w:hAnsi="宋体" w:cs="宋体"/>
                <w:lang w:val="zh-CN"/>
              </w:rPr>
              <w:t>总计</w:t>
            </w:r>
          </w:p>
        </w:tc>
        <w:tc>
          <w:tcPr>
            <w:tcW w:w="1375" w:type="dxa"/>
            <w:vAlign w:val="center"/>
          </w:tcPr>
          <w:p>
            <w:pPr>
              <w:autoSpaceDE w:val="0"/>
              <w:autoSpaceDN w:val="0"/>
              <w:adjustRightInd w:val="0"/>
              <w:spacing w:line="360" w:lineRule="auto"/>
              <w:rPr>
                <w:rFonts w:hAnsi="宋体"/>
                <w:lang w:val="zh-CN"/>
              </w:rPr>
            </w:pPr>
          </w:p>
        </w:tc>
        <w:tc>
          <w:tcPr>
            <w:tcW w:w="1295" w:type="dxa"/>
          </w:tcPr>
          <w:p>
            <w:pPr>
              <w:autoSpaceDE w:val="0"/>
              <w:autoSpaceDN w:val="0"/>
              <w:adjustRightInd w:val="0"/>
              <w:spacing w:line="360" w:lineRule="auto"/>
              <w:rPr>
                <w:rFonts w:hAnsi="宋体"/>
                <w:lang w:val="zh-CN"/>
              </w:rPr>
            </w:pPr>
          </w:p>
        </w:tc>
      </w:tr>
    </w:tbl>
    <w:p>
      <w:pPr>
        <w:autoSpaceDE w:val="0"/>
        <w:autoSpaceDN w:val="0"/>
        <w:adjustRightInd w:val="0"/>
        <w:spacing w:line="360" w:lineRule="auto"/>
        <w:rPr>
          <w:rFonts w:hAnsi="宋体"/>
          <w:lang w:val="zh-CN"/>
        </w:rPr>
      </w:pPr>
    </w:p>
    <w:p>
      <w:pPr>
        <w:spacing w:line="360" w:lineRule="auto"/>
        <w:ind w:left="540" w:leftChars="257"/>
        <w:rPr>
          <w:rFonts w:hAnsi="宋体"/>
        </w:rPr>
      </w:pPr>
    </w:p>
    <w:p>
      <w:pPr>
        <w:spacing w:line="360" w:lineRule="auto"/>
        <w:ind w:left="540" w:leftChars="257"/>
        <w:rPr>
          <w:rFonts w:hAnsi="宋体"/>
          <w:sz w:val="24"/>
          <w:szCs w:val="24"/>
        </w:rPr>
      </w:pPr>
      <w:r>
        <w:rPr>
          <w:rFonts w:hint="eastAsia" w:hAnsi="宋体" w:cs="宋体"/>
          <w:sz w:val="24"/>
          <w:szCs w:val="24"/>
        </w:rPr>
        <w:t>供应商法定代表人（签字或盖章）或其授权代表签字：</w:t>
      </w:r>
    </w:p>
    <w:p>
      <w:pPr>
        <w:spacing w:line="360" w:lineRule="auto"/>
        <w:ind w:left="540" w:leftChars="257"/>
        <w:rPr>
          <w:rFonts w:hAnsi="宋体"/>
          <w:sz w:val="24"/>
          <w:szCs w:val="24"/>
        </w:rPr>
      </w:pPr>
    </w:p>
    <w:p>
      <w:pPr>
        <w:spacing w:line="360" w:lineRule="auto"/>
        <w:ind w:left="540" w:leftChars="257"/>
        <w:rPr>
          <w:rFonts w:hAnsi="宋体"/>
          <w:sz w:val="24"/>
          <w:szCs w:val="24"/>
        </w:rPr>
      </w:pPr>
      <w:r>
        <w:rPr>
          <w:rFonts w:hint="eastAsia" w:hAnsi="宋体" w:cs="宋体"/>
          <w:sz w:val="24"/>
          <w:szCs w:val="24"/>
        </w:rPr>
        <w:t>供应商（加盖公章）：</w:t>
      </w:r>
    </w:p>
    <w:p>
      <w:pPr>
        <w:spacing w:line="360" w:lineRule="auto"/>
        <w:ind w:left="540" w:leftChars="257"/>
        <w:rPr>
          <w:rFonts w:hAnsi="宋体"/>
          <w:sz w:val="24"/>
          <w:szCs w:val="24"/>
        </w:rPr>
      </w:pPr>
    </w:p>
    <w:p>
      <w:pPr>
        <w:spacing w:line="360" w:lineRule="auto"/>
        <w:ind w:left="540" w:leftChars="257"/>
        <w:rPr>
          <w:rFonts w:hAnsi="宋体"/>
          <w:sz w:val="24"/>
          <w:szCs w:val="24"/>
        </w:rPr>
      </w:pPr>
      <w:r>
        <w:rPr>
          <w:rFonts w:hint="eastAsia" w:hAnsi="宋体" w:cs="宋体"/>
          <w:sz w:val="24"/>
          <w:szCs w:val="24"/>
        </w:rPr>
        <w:t>日期：</w:t>
      </w:r>
      <w:r>
        <w:rPr>
          <w:rFonts w:hAnsi="宋体"/>
          <w:sz w:val="24"/>
          <w:szCs w:val="24"/>
        </w:rPr>
        <w:t xml:space="preserve">    </w:t>
      </w:r>
      <w:r>
        <w:rPr>
          <w:rFonts w:hint="eastAsia" w:hAnsi="宋体" w:cs="宋体"/>
          <w:sz w:val="24"/>
          <w:szCs w:val="24"/>
        </w:rPr>
        <w:t>年</w:t>
      </w:r>
      <w:r>
        <w:rPr>
          <w:rFonts w:hAnsi="宋体"/>
          <w:sz w:val="24"/>
          <w:szCs w:val="24"/>
        </w:rPr>
        <w:t xml:space="preserve">    </w:t>
      </w:r>
      <w:r>
        <w:rPr>
          <w:rFonts w:hint="eastAsia" w:hAnsi="宋体" w:cs="宋体"/>
          <w:sz w:val="24"/>
          <w:szCs w:val="24"/>
        </w:rPr>
        <w:t>月</w:t>
      </w:r>
      <w:r>
        <w:rPr>
          <w:rFonts w:hAnsi="宋体"/>
          <w:sz w:val="24"/>
          <w:szCs w:val="24"/>
        </w:rPr>
        <w:t xml:space="preserve">    </w:t>
      </w:r>
      <w:r>
        <w:rPr>
          <w:rFonts w:hint="eastAsia" w:hAnsi="宋体" w:cs="宋体"/>
          <w:sz w:val="24"/>
          <w:szCs w:val="24"/>
        </w:rPr>
        <w:t>日</w:t>
      </w:r>
    </w:p>
    <w:p>
      <w:pPr>
        <w:autoSpaceDE w:val="0"/>
        <w:autoSpaceDN w:val="0"/>
        <w:adjustRightInd w:val="0"/>
        <w:spacing w:line="360" w:lineRule="auto"/>
        <w:ind w:firstLine="420"/>
        <w:rPr>
          <w:rFonts w:hAnsi="宋体"/>
          <w:color w:val="000000"/>
          <w:sz w:val="24"/>
          <w:szCs w:val="24"/>
        </w:rPr>
      </w:pPr>
    </w:p>
    <w:p>
      <w:pPr>
        <w:spacing w:line="360" w:lineRule="auto"/>
        <w:ind w:left="538" w:leftChars="256"/>
        <w:textAlignment w:val="baseline"/>
        <w:rPr>
          <w:rFonts w:hAnsi="宋体"/>
          <w:sz w:val="24"/>
          <w:szCs w:val="24"/>
        </w:rPr>
      </w:pPr>
      <w:r>
        <w:rPr>
          <w:rFonts w:hint="eastAsia" w:hAnsi="宋体" w:cs="宋体"/>
          <w:sz w:val="24"/>
          <w:szCs w:val="24"/>
        </w:rPr>
        <w:t>注：（1）所有价格系用人民币表示，单位：元；</w:t>
      </w:r>
    </w:p>
    <w:p>
      <w:pPr>
        <w:spacing w:line="360" w:lineRule="auto"/>
        <w:ind w:left="538" w:leftChars="256"/>
        <w:textAlignment w:val="baseline"/>
        <w:rPr>
          <w:rFonts w:hAnsi="宋体"/>
          <w:sz w:val="24"/>
          <w:szCs w:val="24"/>
        </w:rPr>
      </w:pPr>
      <w:r>
        <w:rPr>
          <w:rFonts w:hAnsi="宋体"/>
          <w:sz w:val="24"/>
          <w:szCs w:val="24"/>
        </w:rPr>
        <w:t xml:space="preserve">    </w:t>
      </w:r>
      <w:r>
        <w:rPr>
          <w:rFonts w:hint="eastAsia" w:hAnsi="宋体"/>
          <w:sz w:val="24"/>
          <w:szCs w:val="24"/>
        </w:rPr>
        <w:t>（2）</w:t>
      </w:r>
      <w:r>
        <w:rPr>
          <w:rFonts w:hint="eastAsia" w:hAnsi="宋体" w:cs="宋体"/>
          <w:sz w:val="24"/>
          <w:szCs w:val="24"/>
        </w:rPr>
        <w:t>如果单价和总价不符时，以单价为准；</w:t>
      </w:r>
    </w:p>
    <w:p>
      <w:pPr>
        <w:autoSpaceDE w:val="0"/>
        <w:autoSpaceDN w:val="0"/>
        <w:adjustRightInd w:val="0"/>
        <w:spacing w:line="360" w:lineRule="auto"/>
        <w:ind w:firstLine="420"/>
        <w:rPr>
          <w:rFonts w:ascii="华文细黑" w:hAnsi="华文细黑" w:eastAsia="华文细黑"/>
          <w:color w:val="000000"/>
          <w:sz w:val="24"/>
          <w:szCs w:val="24"/>
        </w:rPr>
      </w:pPr>
    </w:p>
    <w:p>
      <w:pPr>
        <w:spacing w:line="360" w:lineRule="auto"/>
        <w:rPr>
          <w:rFonts w:ascii="华文细黑" w:hAnsi="华文细黑" w:eastAsia="华文细黑"/>
          <w:color w:val="000000"/>
          <w:sz w:val="24"/>
          <w:szCs w:val="24"/>
        </w:rPr>
        <w:sectPr>
          <w:footerReference r:id="rId3" w:type="default"/>
          <w:pgSz w:w="11907" w:h="16840"/>
          <w:pgMar w:top="1440" w:right="1797" w:bottom="1440" w:left="1797" w:header="851" w:footer="992" w:gutter="0"/>
          <w:pgNumType w:start="1"/>
          <w:cols w:space="720" w:num="1"/>
        </w:sectPr>
      </w:pPr>
    </w:p>
    <w:p>
      <w:pPr>
        <w:pStyle w:val="20"/>
        <w:jc w:val="left"/>
      </w:pPr>
      <w:bookmarkStart w:id="15" w:name="_Toc312099395"/>
      <w:bookmarkStart w:id="16" w:name="_Toc26272"/>
      <w:r>
        <w:rPr>
          <w:rFonts w:hint="eastAsia"/>
        </w:rPr>
        <w:t>附件4 主要设备技术规格响应表</w:t>
      </w:r>
      <w:bookmarkEnd w:id="15"/>
      <w:bookmarkEnd w:id="16"/>
    </w:p>
    <w:tbl>
      <w:tblPr>
        <w:tblStyle w:val="24"/>
        <w:tblpPr w:leftFromText="180" w:rightFromText="180" w:vertAnchor="text" w:horzAnchor="page" w:tblpX="1854" w:tblpY="209"/>
        <w:tblOverlap w:val="never"/>
        <w:tblW w:w="8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1315"/>
        <w:gridCol w:w="1948"/>
        <w:gridCol w:w="2208"/>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830" w:type="dxa"/>
            <w:vAlign w:val="center"/>
          </w:tcPr>
          <w:p>
            <w:pPr>
              <w:spacing w:line="360" w:lineRule="auto"/>
              <w:jc w:val="center"/>
              <w:rPr>
                <w:rFonts w:hAnsi="宋体"/>
                <w:b/>
                <w:bCs/>
                <w:sz w:val="24"/>
                <w:szCs w:val="24"/>
              </w:rPr>
            </w:pPr>
            <w:r>
              <w:rPr>
                <w:rFonts w:hint="eastAsia" w:hAnsi="宋体" w:cs="宋体"/>
                <w:b/>
                <w:bCs/>
                <w:sz w:val="24"/>
                <w:szCs w:val="24"/>
              </w:rPr>
              <w:t>序号</w:t>
            </w:r>
          </w:p>
        </w:tc>
        <w:tc>
          <w:tcPr>
            <w:tcW w:w="1315" w:type="dxa"/>
            <w:vAlign w:val="center"/>
          </w:tcPr>
          <w:p>
            <w:pPr>
              <w:spacing w:line="360" w:lineRule="auto"/>
              <w:jc w:val="center"/>
              <w:rPr>
                <w:rFonts w:hAnsi="宋体"/>
                <w:b/>
                <w:bCs/>
                <w:sz w:val="24"/>
                <w:szCs w:val="24"/>
              </w:rPr>
            </w:pPr>
            <w:r>
              <w:rPr>
                <w:rFonts w:hint="eastAsia" w:hAnsi="宋体" w:cs="宋体"/>
                <w:b/>
                <w:bCs/>
                <w:sz w:val="24"/>
                <w:szCs w:val="24"/>
              </w:rPr>
              <w:t>名称</w:t>
            </w:r>
          </w:p>
        </w:tc>
        <w:tc>
          <w:tcPr>
            <w:tcW w:w="1948" w:type="dxa"/>
            <w:vAlign w:val="center"/>
          </w:tcPr>
          <w:p>
            <w:pPr>
              <w:spacing w:line="360" w:lineRule="auto"/>
              <w:jc w:val="center"/>
              <w:rPr>
                <w:rFonts w:hAnsi="宋体"/>
                <w:b/>
                <w:bCs/>
                <w:sz w:val="24"/>
                <w:szCs w:val="24"/>
              </w:rPr>
            </w:pPr>
            <w:r>
              <w:rPr>
                <w:rFonts w:hint="eastAsia" w:hAnsi="宋体" w:cs="宋体"/>
                <w:b/>
                <w:bCs/>
                <w:sz w:val="24"/>
                <w:szCs w:val="24"/>
              </w:rPr>
              <w:t>招标规格</w:t>
            </w:r>
          </w:p>
        </w:tc>
        <w:tc>
          <w:tcPr>
            <w:tcW w:w="2208" w:type="dxa"/>
            <w:vAlign w:val="center"/>
          </w:tcPr>
          <w:p>
            <w:pPr>
              <w:spacing w:line="360" w:lineRule="auto"/>
              <w:jc w:val="center"/>
              <w:rPr>
                <w:rFonts w:hAnsi="宋体"/>
                <w:b/>
                <w:bCs/>
                <w:sz w:val="24"/>
                <w:szCs w:val="24"/>
              </w:rPr>
            </w:pPr>
            <w:r>
              <w:rPr>
                <w:rFonts w:hint="eastAsia" w:hAnsi="宋体" w:cs="宋体"/>
                <w:b/>
                <w:bCs/>
                <w:sz w:val="24"/>
                <w:szCs w:val="24"/>
              </w:rPr>
              <w:t>响应规格</w:t>
            </w:r>
          </w:p>
        </w:tc>
        <w:tc>
          <w:tcPr>
            <w:tcW w:w="1897" w:type="dxa"/>
            <w:vAlign w:val="center"/>
          </w:tcPr>
          <w:p>
            <w:pPr>
              <w:spacing w:line="360" w:lineRule="auto"/>
              <w:jc w:val="center"/>
              <w:rPr>
                <w:rFonts w:hAnsi="宋体"/>
                <w:b/>
                <w:bCs/>
                <w:sz w:val="24"/>
                <w:szCs w:val="24"/>
              </w:rPr>
            </w:pPr>
            <w:r>
              <w:rPr>
                <w:rFonts w:hint="eastAsia" w:hAnsi="宋体" w:cs="宋体"/>
                <w:b/>
                <w:bCs/>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30" w:type="dxa"/>
            <w:vAlign w:val="center"/>
          </w:tcPr>
          <w:p>
            <w:pPr>
              <w:spacing w:line="360" w:lineRule="auto"/>
              <w:jc w:val="center"/>
              <w:rPr>
                <w:rFonts w:hAnsi="宋体"/>
                <w:color w:val="000000"/>
                <w:sz w:val="18"/>
                <w:szCs w:val="18"/>
              </w:rPr>
            </w:pPr>
          </w:p>
        </w:tc>
        <w:tc>
          <w:tcPr>
            <w:tcW w:w="1315" w:type="dxa"/>
            <w:vAlign w:val="center"/>
          </w:tcPr>
          <w:p>
            <w:pPr>
              <w:spacing w:line="360" w:lineRule="auto"/>
              <w:jc w:val="left"/>
              <w:rPr>
                <w:rFonts w:ascii="宋体"/>
              </w:rPr>
            </w:pPr>
          </w:p>
        </w:tc>
        <w:tc>
          <w:tcPr>
            <w:tcW w:w="1948" w:type="dxa"/>
            <w:vAlign w:val="center"/>
          </w:tcPr>
          <w:p>
            <w:pPr>
              <w:spacing w:line="360" w:lineRule="auto"/>
              <w:rPr>
                <w:rFonts w:ascii="宋体"/>
              </w:rPr>
            </w:pPr>
          </w:p>
        </w:tc>
        <w:tc>
          <w:tcPr>
            <w:tcW w:w="2208" w:type="dxa"/>
            <w:vAlign w:val="center"/>
          </w:tcPr>
          <w:p>
            <w:pPr>
              <w:spacing w:line="360" w:lineRule="auto"/>
              <w:jc w:val="center"/>
              <w:rPr>
                <w:rFonts w:hAnsi="宋体"/>
                <w:color w:val="000000"/>
                <w:sz w:val="18"/>
                <w:szCs w:val="18"/>
              </w:rPr>
            </w:pPr>
          </w:p>
        </w:tc>
        <w:tc>
          <w:tcPr>
            <w:tcW w:w="1897" w:type="dxa"/>
            <w:vAlign w:val="center"/>
          </w:tcPr>
          <w:p>
            <w:pPr>
              <w:spacing w:line="360" w:lineRule="auto"/>
              <w:jc w:val="center"/>
              <w:rPr>
                <w:rFonts w:hAnsi="宋体"/>
                <w:color w:val="000000"/>
                <w:sz w:val="18"/>
                <w:szCs w:val="18"/>
              </w:rPr>
            </w:pPr>
          </w:p>
        </w:tc>
      </w:tr>
    </w:tbl>
    <w:p>
      <w:pPr>
        <w:spacing w:line="360" w:lineRule="auto"/>
        <w:rPr>
          <w:rFonts w:hAnsi="宋体"/>
          <w:sz w:val="24"/>
          <w:szCs w:val="24"/>
        </w:rPr>
      </w:pPr>
    </w:p>
    <w:p>
      <w:pPr>
        <w:spacing w:line="360" w:lineRule="auto"/>
        <w:rPr>
          <w:rFonts w:hAnsi="宋体"/>
          <w:sz w:val="24"/>
          <w:szCs w:val="24"/>
          <w:u w:val="single"/>
        </w:rPr>
      </w:pPr>
      <w:r>
        <w:rPr>
          <w:rFonts w:hint="eastAsia" w:hAnsi="宋体" w:cs="宋体"/>
          <w:sz w:val="24"/>
          <w:szCs w:val="24"/>
        </w:rPr>
        <w:t>供应商法定代表人</w:t>
      </w:r>
      <w:r>
        <w:rPr>
          <w:rFonts w:hAnsi="宋体"/>
          <w:sz w:val="24"/>
          <w:szCs w:val="24"/>
        </w:rPr>
        <w:t>(</w:t>
      </w:r>
      <w:r>
        <w:rPr>
          <w:rFonts w:hint="eastAsia" w:hAnsi="宋体" w:cs="宋体"/>
          <w:sz w:val="24"/>
          <w:szCs w:val="24"/>
        </w:rPr>
        <w:t>签字或盖章</w:t>
      </w:r>
      <w:r>
        <w:rPr>
          <w:rFonts w:hAnsi="宋体"/>
          <w:sz w:val="24"/>
          <w:szCs w:val="24"/>
        </w:rPr>
        <w:t>)</w:t>
      </w:r>
      <w:r>
        <w:rPr>
          <w:rFonts w:hint="eastAsia" w:hAnsi="宋体" w:cs="宋体"/>
          <w:sz w:val="24"/>
          <w:szCs w:val="24"/>
        </w:rPr>
        <w:t>或其授权代表签字：</w:t>
      </w:r>
      <w:r>
        <w:rPr>
          <w:rFonts w:hint="eastAsia" w:hAnsi="宋体" w:cs="宋体"/>
          <w:sz w:val="24"/>
          <w:szCs w:val="24"/>
          <w:u w:val="single"/>
        </w:rPr>
        <w:t>　　　　　　　　</w:t>
      </w:r>
    </w:p>
    <w:p>
      <w:pPr>
        <w:spacing w:line="360" w:lineRule="auto"/>
        <w:rPr>
          <w:rFonts w:hAnsi="宋体"/>
          <w:sz w:val="24"/>
          <w:szCs w:val="24"/>
          <w:u w:val="single"/>
        </w:rPr>
      </w:pPr>
    </w:p>
    <w:p>
      <w:pPr>
        <w:spacing w:line="360" w:lineRule="auto"/>
        <w:rPr>
          <w:rFonts w:hAnsi="宋体"/>
          <w:sz w:val="24"/>
          <w:szCs w:val="24"/>
        </w:rPr>
      </w:pPr>
      <w:r>
        <w:rPr>
          <w:rFonts w:hint="eastAsia" w:hAnsi="宋体" w:cs="宋体"/>
          <w:sz w:val="24"/>
          <w:szCs w:val="24"/>
        </w:rPr>
        <w:t>供应商</w:t>
      </w:r>
      <w:r>
        <w:rPr>
          <w:rFonts w:hAnsi="宋体"/>
          <w:sz w:val="24"/>
          <w:szCs w:val="24"/>
        </w:rPr>
        <w:t>(</w:t>
      </w:r>
      <w:r>
        <w:rPr>
          <w:rFonts w:hint="eastAsia" w:hAnsi="宋体" w:cs="宋体"/>
          <w:sz w:val="24"/>
          <w:szCs w:val="24"/>
        </w:rPr>
        <w:t>加盖公章</w:t>
      </w:r>
      <w:r>
        <w:rPr>
          <w:rFonts w:hAnsi="宋体"/>
          <w:sz w:val="24"/>
          <w:szCs w:val="24"/>
        </w:rPr>
        <w:t>)</w:t>
      </w:r>
      <w:r>
        <w:rPr>
          <w:rFonts w:hint="eastAsia" w:hAnsi="宋体" w:cs="宋体"/>
          <w:sz w:val="24"/>
          <w:szCs w:val="24"/>
        </w:rPr>
        <w:t>：</w:t>
      </w:r>
    </w:p>
    <w:p>
      <w:pPr>
        <w:spacing w:line="360" w:lineRule="auto"/>
        <w:rPr>
          <w:rFonts w:ascii="华文细黑" w:hAnsi="华文细黑" w:eastAsia="华文细黑"/>
          <w:color w:val="000000"/>
          <w:sz w:val="24"/>
          <w:szCs w:val="24"/>
        </w:rPr>
        <w:sectPr>
          <w:type w:val="nextColumn"/>
          <w:pgSz w:w="11907" w:h="16840"/>
          <w:pgMar w:top="1440" w:right="1797" w:bottom="1440" w:left="1797" w:header="851" w:footer="992" w:gutter="0"/>
          <w:cols w:space="720" w:num="1"/>
        </w:sectPr>
      </w:pPr>
    </w:p>
    <w:p>
      <w:pPr>
        <w:pStyle w:val="20"/>
        <w:jc w:val="left"/>
      </w:pPr>
      <w:bookmarkStart w:id="17" w:name="_Toc312099396"/>
      <w:bookmarkStart w:id="18" w:name="_Toc319"/>
      <w:r>
        <w:rPr>
          <w:rFonts w:hint="eastAsia"/>
        </w:rPr>
        <w:t>附件5 售后服务承诺书</w:t>
      </w:r>
      <w:bookmarkEnd w:id="17"/>
      <w:bookmarkEnd w:id="18"/>
    </w:p>
    <w:p>
      <w:pPr>
        <w:spacing w:line="360" w:lineRule="auto"/>
        <w:ind w:firstLine="482" w:firstLineChars="200"/>
        <w:jc w:val="center"/>
        <w:rPr>
          <w:rFonts w:hAnsi="宋体" w:cs="宋体"/>
          <w:b/>
          <w:bCs/>
          <w:color w:val="000000"/>
          <w:sz w:val="24"/>
          <w:szCs w:val="24"/>
        </w:rPr>
      </w:pPr>
      <w:r>
        <w:rPr>
          <w:rFonts w:hint="eastAsia" w:hAnsi="宋体" w:cs="宋体"/>
          <w:b/>
          <w:bCs/>
          <w:color w:val="000000"/>
          <w:sz w:val="24"/>
          <w:szCs w:val="24"/>
        </w:rPr>
        <w:t>(由供应商根据要求及项目特点自行填写)</w:t>
      </w:r>
      <w:bookmarkStart w:id="19" w:name="_Toc143067475"/>
      <w:bookmarkStart w:id="20" w:name="_Toc312099397"/>
      <w:bookmarkStart w:id="21" w:name="_Toc75518595"/>
      <w:bookmarkStart w:id="22" w:name="_Toc160"/>
    </w:p>
    <w:p>
      <w:pPr>
        <w:pStyle w:val="20"/>
        <w:jc w:val="left"/>
      </w:pPr>
      <w:r>
        <w:rPr>
          <w:rFonts w:hint="eastAsia"/>
        </w:rPr>
        <w:t>附件6 投标人营业执照</w:t>
      </w:r>
      <w:bookmarkEnd w:id="19"/>
      <w:bookmarkEnd w:id="20"/>
      <w:bookmarkEnd w:id="21"/>
      <w:bookmarkEnd w:id="22"/>
    </w:p>
    <w:p>
      <w:pPr>
        <w:spacing w:line="360" w:lineRule="auto"/>
        <w:rPr>
          <w:rFonts w:hAnsi="宋体"/>
          <w:color w:val="000000"/>
          <w:sz w:val="24"/>
          <w:szCs w:val="24"/>
        </w:rPr>
      </w:pPr>
    </w:p>
    <w:p>
      <w:pPr>
        <w:spacing w:line="360" w:lineRule="auto"/>
        <w:ind w:firstLine="482" w:firstLineChars="200"/>
        <w:jc w:val="center"/>
        <w:rPr>
          <w:rFonts w:hAnsi="宋体" w:cs="宋体"/>
          <w:b/>
          <w:bCs/>
          <w:color w:val="000000"/>
          <w:sz w:val="24"/>
          <w:szCs w:val="24"/>
        </w:rPr>
      </w:pPr>
      <w:bookmarkStart w:id="23" w:name="_Toc143067476"/>
      <w:r>
        <w:rPr>
          <w:rFonts w:hint="eastAsia" w:hAnsi="宋体" w:cs="宋体"/>
          <w:b/>
          <w:bCs/>
          <w:color w:val="000000"/>
          <w:sz w:val="24"/>
          <w:szCs w:val="24"/>
        </w:rPr>
        <w:t>（复印件）</w:t>
      </w:r>
      <w:bookmarkEnd w:id="23"/>
    </w:p>
    <w:p>
      <w:pPr>
        <w:spacing w:line="360" w:lineRule="auto"/>
        <w:ind w:firstLine="482" w:firstLineChars="200"/>
        <w:jc w:val="center"/>
        <w:rPr>
          <w:rFonts w:hint="eastAsia" w:hAnsi="宋体"/>
          <w:b/>
          <w:bCs/>
          <w:color w:val="000000"/>
          <w:sz w:val="24"/>
          <w:szCs w:val="24"/>
        </w:rPr>
      </w:pPr>
    </w:p>
    <w:p>
      <w:pPr>
        <w:pStyle w:val="20"/>
        <w:jc w:val="left"/>
      </w:pPr>
      <w:r>
        <w:rPr>
          <w:rFonts w:hint="eastAsia"/>
        </w:rPr>
        <w:t>附件7提供实施案例佐证材料</w:t>
      </w:r>
    </w:p>
    <w:p>
      <w:pPr>
        <w:pStyle w:val="20"/>
        <w:jc w:val="left"/>
      </w:pPr>
      <w:bookmarkStart w:id="24" w:name="_Toc143067479"/>
      <w:bookmarkStart w:id="25" w:name="_Toc75518606"/>
      <w:bookmarkStart w:id="26" w:name="_Toc312099400"/>
      <w:bookmarkStart w:id="27" w:name="_Toc5498"/>
      <w:r>
        <w:rPr>
          <w:rFonts w:hint="eastAsia"/>
        </w:rPr>
        <w:t>附件8 投标人提供补充的证明资料</w:t>
      </w:r>
      <w:bookmarkEnd w:id="24"/>
      <w:bookmarkEnd w:id="25"/>
      <w:bookmarkEnd w:id="26"/>
      <w:r>
        <w:rPr>
          <w:rFonts w:hint="eastAsia"/>
        </w:rPr>
        <w:t>（如果投标人认为需要）</w:t>
      </w:r>
      <w:bookmarkEnd w:id="27"/>
    </w:p>
    <w:p>
      <w:pPr>
        <w:pStyle w:val="9"/>
        <w:spacing w:line="360" w:lineRule="auto"/>
        <w:ind w:right="560" w:firstLine="0"/>
        <w:rPr>
          <w:rFonts w:cs="Times New Roman"/>
          <w:b/>
          <w:bCs/>
          <w:sz w:val="21"/>
          <w:szCs w:val="21"/>
        </w:rPr>
      </w:pP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Book Antiqua">
    <w:altName w:val="Segoe Print"/>
    <w:panose1 w:val="02040602050305030304"/>
    <w:charset w:val="00"/>
    <w:family w:val="roman"/>
    <w:pitch w:val="default"/>
    <w:sig w:usb0="00000000" w:usb1="00000000" w:usb2="00000000" w:usb3="00000000" w:csb0="0000009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10" w:usb3="00000000" w:csb0="0004009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lvlText w:val=""/>
      <w:lvlJc w:val="left"/>
      <w:pPr>
        <w:tabs>
          <w:tab w:val="left" w:pos="5747"/>
        </w:tabs>
        <w:ind w:left="5747" w:hanging="360"/>
      </w:pPr>
      <w:rPr>
        <w:rFonts w:hint="default" w:ascii="Wingdings" w:hAnsi="Wingdings" w:cs="Wingdings"/>
      </w:rPr>
    </w:lvl>
  </w:abstractNum>
  <w:abstractNum w:abstractNumId="1">
    <w:nsid w:val="1D5755D3"/>
    <w:multiLevelType w:val="multilevel"/>
    <w:tmpl w:val="1D5755D3"/>
    <w:lvl w:ilvl="0" w:tentative="0">
      <w:start w:val="1"/>
      <w:numFmt w:val="bullet"/>
      <w:pStyle w:val="45"/>
      <w:lvlText w:val=""/>
      <w:lvlJc w:val="left"/>
      <w:pPr>
        <w:tabs>
          <w:tab w:val="left" w:pos="2126"/>
        </w:tabs>
        <w:ind w:left="2126" w:hanging="425"/>
      </w:pPr>
      <w:rPr>
        <w:rFonts w:hint="default" w:ascii="Wingdings" w:hAnsi="Wingdings" w:cs="Wingdings"/>
        <w:b w:val="0"/>
        <w:bCs w:val="0"/>
        <w:i w:val="0"/>
        <w:iCs w:val="0"/>
        <w:caps w:val="0"/>
        <w:strike w:val="0"/>
        <w:dstrike w:val="0"/>
        <w:color w:val="000000"/>
        <w:spacing w:val="0"/>
        <w:w w:val="100"/>
        <w:position w:val="2"/>
        <w:sz w:val="16"/>
        <w:szCs w:val="16"/>
      </w:rPr>
    </w:lvl>
    <w:lvl w:ilvl="1" w:tentative="0">
      <w:start w:val="1"/>
      <w:numFmt w:val="bullet"/>
      <w:lvlText w:val=""/>
      <w:lvlJc w:val="left"/>
      <w:pPr>
        <w:tabs>
          <w:tab w:val="left" w:pos="840"/>
        </w:tabs>
        <w:ind w:left="840" w:hanging="420"/>
      </w:pPr>
      <w:rPr>
        <w:rFonts w:hint="default" w:ascii="Wingdings" w:hAnsi="Wingdings" w:cs="Wingdings"/>
      </w:rPr>
    </w:lvl>
    <w:lvl w:ilvl="2" w:tentative="0">
      <w:start w:val="1"/>
      <w:numFmt w:val="bullet"/>
      <w:lvlText w:val=""/>
      <w:lvlJc w:val="left"/>
      <w:pPr>
        <w:tabs>
          <w:tab w:val="left" w:pos="1260"/>
        </w:tabs>
        <w:ind w:left="1260" w:hanging="420"/>
      </w:pPr>
      <w:rPr>
        <w:rFonts w:hint="default" w:ascii="Wingdings" w:hAnsi="Wingdings" w:cs="Wingdings"/>
      </w:rPr>
    </w:lvl>
    <w:lvl w:ilvl="3" w:tentative="0">
      <w:start w:val="1"/>
      <w:numFmt w:val="bullet"/>
      <w:lvlText w:val=""/>
      <w:lvlJc w:val="left"/>
      <w:pPr>
        <w:tabs>
          <w:tab w:val="left" w:pos="1680"/>
        </w:tabs>
        <w:ind w:left="1680" w:hanging="420"/>
      </w:pPr>
      <w:rPr>
        <w:rFonts w:hint="default" w:ascii="Wingdings" w:hAnsi="Wingdings" w:cs="Wingdings"/>
      </w:rPr>
    </w:lvl>
    <w:lvl w:ilvl="4" w:tentative="0">
      <w:start w:val="1"/>
      <w:numFmt w:val="bullet"/>
      <w:lvlText w:val=""/>
      <w:lvlJc w:val="left"/>
      <w:pPr>
        <w:tabs>
          <w:tab w:val="left" w:pos="2100"/>
        </w:tabs>
        <w:ind w:left="2100" w:hanging="420"/>
      </w:pPr>
      <w:rPr>
        <w:rFonts w:hint="default" w:ascii="Wingdings" w:hAnsi="Wingdings" w:cs="Wingdings"/>
      </w:rPr>
    </w:lvl>
    <w:lvl w:ilvl="5" w:tentative="0">
      <w:start w:val="1"/>
      <w:numFmt w:val="bullet"/>
      <w:lvlText w:val=""/>
      <w:lvlJc w:val="left"/>
      <w:pPr>
        <w:tabs>
          <w:tab w:val="left" w:pos="2520"/>
        </w:tabs>
        <w:ind w:left="2520" w:hanging="420"/>
      </w:pPr>
      <w:rPr>
        <w:rFonts w:hint="default" w:ascii="Wingdings" w:hAnsi="Wingdings" w:cs="Wingdings"/>
      </w:rPr>
    </w:lvl>
    <w:lvl w:ilvl="6" w:tentative="0">
      <w:start w:val="1"/>
      <w:numFmt w:val="bullet"/>
      <w:lvlText w:val=""/>
      <w:lvlJc w:val="left"/>
      <w:pPr>
        <w:tabs>
          <w:tab w:val="left" w:pos="2940"/>
        </w:tabs>
        <w:ind w:left="2940" w:hanging="420"/>
      </w:pPr>
      <w:rPr>
        <w:rFonts w:hint="default" w:ascii="Wingdings" w:hAnsi="Wingdings" w:cs="Wingdings"/>
      </w:rPr>
    </w:lvl>
    <w:lvl w:ilvl="7" w:tentative="0">
      <w:start w:val="1"/>
      <w:numFmt w:val="bullet"/>
      <w:lvlText w:val=""/>
      <w:lvlJc w:val="left"/>
      <w:pPr>
        <w:tabs>
          <w:tab w:val="left" w:pos="3360"/>
        </w:tabs>
        <w:ind w:left="3360" w:hanging="420"/>
      </w:pPr>
      <w:rPr>
        <w:rFonts w:hint="default" w:ascii="Wingdings" w:hAnsi="Wingdings" w:cs="Wingdings"/>
      </w:rPr>
    </w:lvl>
    <w:lvl w:ilvl="8" w:tentative="0">
      <w:start w:val="1"/>
      <w:numFmt w:val="bullet"/>
      <w:lvlText w:val=""/>
      <w:lvlJc w:val="left"/>
      <w:pPr>
        <w:tabs>
          <w:tab w:val="left" w:pos="3780"/>
        </w:tabs>
        <w:ind w:left="3780" w:hanging="420"/>
      </w:pPr>
      <w:rPr>
        <w:rFonts w:hint="default" w:ascii="Wingdings" w:hAnsi="Wingdings" w:cs="Wingdings"/>
      </w:rPr>
    </w:lvl>
  </w:abstractNum>
  <w:abstractNum w:abstractNumId="2">
    <w:nsid w:val="200E01F3"/>
    <w:multiLevelType w:val="multilevel"/>
    <w:tmpl w:val="200E01F3"/>
    <w:lvl w:ilvl="0" w:tentative="0">
      <w:start w:val="1"/>
      <w:numFmt w:val="bullet"/>
      <w:pStyle w:val="44"/>
      <w:lvlText w:val=""/>
      <w:lvlJc w:val="left"/>
      <w:pPr>
        <w:tabs>
          <w:tab w:val="left" w:pos="420"/>
        </w:tabs>
        <w:ind w:left="420" w:hanging="420"/>
      </w:pPr>
      <w:rPr>
        <w:rFonts w:hint="default" w:ascii="Wingdings" w:hAnsi="Wingdings" w:cs="Wingdings"/>
      </w:rPr>
    </w:lvl>
    <w:lvl w:ilvl="1" w:tentative="0">
      <w:start w:val="1"/>
      <w:numFmt w:val="bullet"/>
      <w:lvlText w:val=""/>
      <w:lvlJc w:val="left"/>
      <w:pPr>
        <w:tabs>
          <w:tab w:val="left" w:pos="840"/>
        </w:tabs>
        <w:ind w:left="840" w:hanging="420"/>
      </w:pPr>
      <w:rPr>
        <w:rFonts w:hint="default" w:ascii="Wingdings" w:hAnsi="Wingdings" w:cs="Wingdings"/>
      </w:r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cs="Wingdings"/>
      </w:rPr>
    </w:lvl>
    <w:lvl w:ilvl="4" w:tentative="0">
      <w:start w:val="1"/>
      <w:numFmt w:val="bullet"/>
      <w:lvlText w:val=""/>
      <w:lvlJc w:val="left"/>
      <w:pPr>
        <w:tabs>
          <w:tab w:val="left" w:pos="2100"/>
        </w:tabs>
        <w:ind w:left="2100" w:hanging="420"/>
      </w:pPr>
      <w:rPr>
        <w:rFonts w:hint="default" w:ascii="Wingdings" w:hAnsi="Wingdings" w:cs="Wingdings"/>
      </w:rPr>
    </w:lvl>
    <w:lvl w:ilvl="5" w:tentative="0">
      <w:start w:val="1"/>
      <w:numFmt w:val="bullet"/>
      <w:lvlText w:val=""/>
      <w:lvlJc w:val="left"/>
      <w:pPr>
        <w:tabs>
          <w:tab w:val="left" w:pos="2520"/>
        </w:tabs>
        <w:ind w:left="2520" w:hanging="420"/>
      </w:pPr>
      <w:rPr>
        <w:rFonts w:hint="default" w:ascii="Wingdings" w:hAnsi="Wingdings" w:cs="Wingdings"/>
      </w:rPr>
    </w:lvl>
    <w:lvl w:ilvl="6" w:tentative="0">
      <w:start w:val="1"/>
      <w:numFmt w:val="bullet"/>
      <w:lvlText w:val=""/>
      <w:lvlJc w:val="left"/>
      <w:pPr>
        <w:tabs>
          <w:tab w:val="left" w:pos="2940"/>
        </w:tabs>
        <w:ind w:left="2940" w:hanging="420"/>
      </w:pPr>
      <w:rPr>
        <w:rFonts w:hint="default" w:ascii="Wingdings" w:hAnsi="Wingdings" w:cs="Wingdings"/>
      </w:rPr>
    </w:lvl>
    <w:lvl w:ilvl="7" w:tentative="0">
      <w:start w:val="1"/>
      <w:numFmt w:val="bullet"/>
      <w:lvlText w:val=""/>
      <w:lvlJc w:val="left"/>
      <w:pPr>
        <w:tabs>
          <w:tab w:val="left" w:pos="3360"/>
        </w:tabs>
        <w:ind w:left="3360" w:hanging="420"/>
      </w:pPr>
      <w:rPr>
        <w:rFonts w:hint="default" w:ascii="Wingdings" w:hAnsi="Wingdings" w:cs="Wingdings"/>
      </w:rPr>
    </w:lvl>
    <w:lvl w:ilvl="8" w:tentative="0">
      <w:start w:val="1"/>
      <w:numFmt w:val="bullet"/>
      <w:lvlText w:val=""/>
      <w:lvlJc w:val="left"/>
      <w:pPr>
        <w:tabs>
          <w:tab w:val="left" w:pos="3780"/>
        </w:tabs>
        <w:ind w:left="3780" w:hanging="420"/>
      </w:pPr>
      <w:rPr>
        <w:rFonts w:hint="default" w:ascii="Wingdings" w:hAnsi="Wingdings" w:cs="Wingdings"/>
      </w:rPr>
    </w:lvl>
  </w:abstractNum>
  <w:abstractNum w:abstractNumId="3">
    <w:nsid w:val="2C446CF7"/>
    <w:multiLevelType w:val="multilevel"/>
    <w:tmpl w:val="2C446CF7"/>
    <w:lvl w:ilvl="0" w:tentative="0">
      <w:start w:val="1"/>
      <w:numFmt w:val="bullet"/>
      <w:pStyle w:val="10"/>
      <w:lvlText w:val=""/>
      <w:lvlJc w:val="left"/>
      <w:pPr>
        <w:tabs>
          <w:tab w:val="left" w:pos="840"/>
        </w:tabs>
        <w:ind w:left="840" w:hanging="420"/>
      </w:pPr>
      <w:rPr>
        <w:rFonts w:hint="default" w:ascii="Wingdings" w:hAnsi="Wingdings" w:cs="Wingdings"/>
      </w:rPr>
    </w:lvl>
    <w:lvl w:ilvl="1" w:tentative="0">
      <w:start w:val="1"/>
      <w:numFmt w:val="bullet"/>
      <w:lvlText w:val=""/>
      <w:lvlJc w:val="left"/>
      <w:pPr>
        <w:tabs>
          <w:tab w:val="left" w:pos="1260"/>
        </w:tabs>
        <w:ind w:left="1260" w:hanging="420"/>
      </w:pPr>
      <w:rPr>
        <w:rFonts w:hint="default" w:ascii="Wingdings" w:hAnsi="Wingdings" w:cs="Wingdings"/>
      </w:rPr>
    </w:lvl>
    <w:lvl w:ilvl="2" w:tentative="0">
      <w:start w:val="1"/>
      <w:numFmt w:val="bullet"/>
      <w:lvlText w:val=""/>
      <w:lvlJc w:val="left"/>
      <w:pPr>
        <w:tabs>
          <w:tab w:val="left" w:pos="1680"/>
        </w:tabs>
        <w:ind w:left="1680" w:hanging="420"/>
      </w:pPr>
      <w:rPr>
        <w:rFonts w:hint="default" w:ascii="Wingdings" w:hAnsi="Wingdings" w:cs="Wingdings"/>
      </w:rPr>
    </w:lvl>
    <w:lvl w:ilvl="3" w:tentative="0">
      <w:start w:val="1"/>
      <w:numFmt w:val="bullet"/>
      <w:lvlText w:val=""/>
      <w:lvlJc w:val="left"/>
      <w:pPr>
        <w:tabs>
          <w:tab w:val="left" w:pos="2100"/>
        </w:tabs>
        <w:ind w:left="2100" w:hanging="420"/>
      </w:pPr>
      <w:rPr>
        <w:rFonts w:hint="default" w:ascii="Wingdings" w:hAnsi="Wingdings" w:cs="Wingdings"/>
      </w:rPr>
    </w:lvl>
    <w:lvl w:ilvl="4" w:tentative="0">
      <w:start w:val="1"/>
      <w:numFmt w:val="bullet"/>
      <w:lvlText w:val=""/>
      <w:lvlJc w:val="left"/>
      <w:pPr>
        <w:tabs>
          <w:tab w:val="left" w:pos="2520"/>
        </w:tabs>
        <w:ind w:left="2520" w:hanging="420"/>
      </w:pPr>
      <w:rPr>
        <w:rFonts w:hint="default" w:ascii="Wingdings" w:hAnsi="Wingdings" w:cs="Wingdings"/>
      </w:rPr>
    </w:lvl>
    <w:lvl w:ilvl="5" w:tentative="0">
      <w:start w:val="1"/>
      <w:numFmt w:val="bullet"/>
      <w:lvlText w:val=""/>
      <w:lvlJc w:val="left"/>
      <w:pPr>
        <w:tabs>
          <w:tab w:val="left" w:pos="2940"/>
        </w:tabs>
        <w:ind w:left="2940" w:hanging="420"/>
      </w:pPr>
      <w:rPr>
        <w:rFonts w:hint="default" w:ascii="Wingdings" w:hAnsi="Wingdings" w:cs="Wingdings"/>
      </w:rPr>
    </w:lvl>
    <w:lvl w:ilvl="6" w:tentative="0">
      <w:start w:val="1"/>
      <w:numFmt w:val="bullet"/>
      <w:lvlText w:val=""/>
      <w:lvlJc w:val="left"/>
      <w:pPr>
        <w:tabs>
          <w:tab w:val="left" w:pos="3360"/>
        </w:tabs>
        <w:ind w:left="3360" w:hanging="420"/>
      </w:pPr>
      <w:rPr>
        <w:rFonts w:hint="default" w:ascii="Wingdings" w:hAnsi="Wingdings" w:cs="Wingdings"/>
      </w:rPr>
    </w:lvl>
    <w:lvl w:ilvl="7" w:tentative="0">
      <w:start w:val="1"/>
      <w:numFmt w:val="bullet"/>
      <w:lvlText w:val=""/>
      <w:lvlJc w:val="left"/>
      <w:pPr>
        <w:tabs>
          <w:tab w:val="left" w:pos="3780"/>
        </w:tabs>
        <w:ind w:left="3780" w:hanging="420"/>
      </w:pPr>
      <w:rPr>
        <w:rFonts w:hint="default" w:ascii="Wingdings" w:hAnsi="Wingdings" w:cs="Wingdings"/>
      </w:rPr>
    </w:lvl>
    <w:lvl w:ilvl="8" w:tentative="0">
      <w:start w:val="1"/>
      <w:numFmt w:val="bullet"/>
      <w:lvlText w:val=""/>
      <w:lvlJc w:val="left"/>
      <w:pPr>
        <w:tabs>
          <w:tab w:val="left" w:pos="4200"/>
        </w:tabs>
        <w:ind w:left="4200" w:hanging="420"/>
      </w:pPr>
      <w:rPr>
        <w:rFonts w:hint="default" w:ascii="Wingdings" w:hAnsi="Wingdings" w:cs="Wingding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9DA"/>
    <w:rsid w:val="00003D84"/>
    <w:rsid w:val="000050EE"/>
    <w:rsid w:val="00005317"/>
    <w:rsid w:val="000053E9"/>
    <w:rsid w:val="00010822"/>
    <w:rsid w:val="00010FA0"/>
    <w:rsid w:val="0001199A"/>
    <w:rsid w:val="00013026"/>
    <w:rsid w:val="00013296"/>
    <w:rsid w:val="00015569"/>
    <w:rsid w:val="00015EBD"/>
    <w:rsid w:val="00020CE9"/>
    <w:rsid w:val="00021931"/>
    <w:rsid w:val="00025D14"/>
    <w:rsid w:val="00026744"/>
    <w:rsid w:val="00030D7F"/>
    <w:rsid w:val="00034E52"/>
    <w:rsid w:val="000407AC"/>
    <w:rsid w:val="00040D55"/>
    <w:rsid w:val="00045F1F"/>
    <w:rsid w:val="00046A0C"/>
    <w:rsid w:val="00052A2D"/>
    <w:rsid w:val="000542D6"/>
    <w:rsid w:val="00054F15"/>
    <w:rsid w:val="000556C0"/>
    <w:rsid w:val="000562C2"/>
    <w:rsid w:val="00057834"/>
    <w:rsid w:val="000579BF"/>
    <w:rsid w:val="00065B05"/>
    <w:rsid w:val="00073B43"/>
    <w:rsid w:val="00073EE6"/>
    <w:rsid w:val="0007430F"/>
    <w:rsid w:val="0007503B"/>
    <w:rsid w:val="00076231"/>
    <w:rsid w:val="00077D42"/>
    <w:rsid w:val="00085261"/>
    <w:rsid w:val="00085735"/>
    <w:rsid w:val="00085A2B"/>
    <w:rsid w:val="000863E2"/>
    <w:rsid w:val="00092287"/>
    <w:rsid w:val="000A076F"/>
    <w:rsid w:val="000A365F"/>
    <w:rsid w:val="000A50E2"/>
    <w:rsid w:val="000A59CD"/>
    <w:rsid w:val="000A65FA"/>
    <w:rsid w:val="000B1432"/>
    <w:rsid w:val="000B1B6E"/>
    <w:rsid w:val="000B3E8C"/>
    <w:rsid w:val="000B3F1F"/>
    <w:rsid w:val="000C0248"/>
    <w:rsid w:val="000C06A2"/>
    <w:rsid w:val="000C4979"/>
    <w:rsid w:val="000C6F19"/>
    <w:rsid w:val="000D418F"/>
    <w:rsid w:val="000D5A8E"/>
    <w:rsid w:val="000E09CE"/>
    <w:rsid w:val="000E1478"/>
    <w:rsid w:val="000E2592"/>
    <w:rsid w:val="000E43BD"/>
    <w:rsid w:val="000F1A45"/>
    <w:rsid w:val="00104E32"/>
    <w:rsid w:val="00105731"/>
    <w:rsid w:val="00112B8E"/>
    <w:rsid w:val="001151C8"/>
    <w:rsid w:val="00115FCE"/>
    <w:rsid w:val="00116003"/>
    <w:rsid w:val="0011626C"/>
    <w:rsid w:val="00122CBD"/>
    <w:rsid w:val="00126D53"/>
    <w:rsid w:val="0013169C"/>
    <w:rsid w:val="00132281"/>
    <w:rsid w:val="00137E7B"/>
    <w:rsid w:val="0014110D"/>
    <w:rsid w:val="001431F3"/>
    <w:rsid w:val="00145FA5"/>
    <w:rsid w:val="001469E9"/>
    <w:rsid w:val="00166AD5"/>
    <w:rsid w:val="00171699"/>
    <w:rsid w:val="00174668"/>
    <w:rsid w:val="00175768"/>
    <w:rsid w:val="00180F7D"/>
    <w:rsid w:val="00185706"/>
    <w:rsid w:val="001863D7"/>
    <w:rsid w:val="001863DF"/>
    <w:rsid w:val="00190022"/>
    <w:rsid w:val="00190326"/>
    <w:rsid w:val="00190626"/>
    <w:rsid w:val="001923B9"/>
    <w:rsid w:val="00194EC9"/>
    <w:rsid w:val="00195A58"/>
    <w:rsid w:val="001A0319"/>
    <w:rsid w:val="001A3A6D"/>
    <w:rsid w:val="001A3CDE"/>
    <w:rsid w:val="001B2DD7"/>
    <w:rsid w:val="001B40DB"/>
    <w:rsid w:val="001B46AE"/>
    <w:rsid w:val="001B5435"/>
    <w:rsid w:val="001C08AB"/>
    <w:rsid w:val="001C1425"/>
    <w:rsid w:val="001C1EAD"/>
    <w:rsid w:val="001C23F4"/>
    <w:rsid w:val="001C3328"/>
    <w:rsid w:val="001C70CD"/>
    <w:rsid w:val="001D4BDE"/>
    <w:rsid w:val="001D5242"/>
    <w:rsid w:val="001D5A56"/>
    <w:rsid w:val="001D76DA"/>
    <w:rsid w:val="001E1FB1"/>
    <w:rsid w:val="001E2733"/>
    <w:rsid w:val="001F0C1D"/>
    <w:rsid w:val="001F13D9"/>
    <w:rsid w:val="001F1724"/>
    <w:rsid w:val="001F51A1"/>
    <w:rsid w:val="001F74E7"/>
    <w:rsid w:val="0020112D"/>
    <w:rsid w:val="00203D3B"/>
    <w:rsid w:val="00205451"/>
    <w:rsid w:val="00207138"/>
    <w:rsid w:val="002109DD"/>
    <w:rsid w:val="0021232E"/>
    <w:rsid w:val="002138F8"/>
    <w:rsid w:val="00213E9A"/>
    <w:rsid w:val="00221E43"/>
    <w:rsid w:val="002229EC"/>
    <w:rsid w:val="00225A89"/>
    <w:rsid w:val="002267E4"/>
    <w:rsid w:val="00226BF2"/>
    <w:rsid w:val="002275BA"/>
    <w:rsid w:val="002303E1"/>
    <w:rsid w:val="00233785"/>
    <w:rsid w:val="00234A3C"/>
    <w:rsid w:val="00235B32"/>
    <w:rsid w:val="00237B61"/>
    <w:rsid w:val="00241A6D"/>
    <w:rsid w:val="002423C9"/>
    <w:rsid w:val="00242C65"/>
    <w:rsid w:val="00245211"/>
    <w:rsid w:val="00247752"/>
    <w:rsid w:val="0024787C"/>
    <w:rsid w:val="0025230E"/>
    <w:rsid w:val="0025234A"/>
    <w:rsid w:val="00253BEA"/>
    <w:rsid w:val="002552F8"/>
    <w:rsid w:val="00255D71"/>
    <w:rsid w:val="002560F3"/>
    <w:rsid w:val="00257B7B"/>
    <w:rsid w:val="002624CE"/>
    <w:rsid w:val="00263AA3"/>
    <w:rsid w:val="00270AAC"/>
    <w:rsid w:val="00270B6A"/>
    <w:rsid w:val="00272A04"/>
    <w:rsid w:val="00273657"/>
    <w:rsid w:val="00274996"/>
    <w:rsid w:val="00275A50"/>
    <w:rsid w:val="00275FA8"/>
    <w:rsid w:val="0029110D"/>
    <w:rsid w:val="00291BF9"/>
    <w:rsid w:val="0029397E"/>
    <w:rsid w:val="00295E16"/>
    <w:rsid w:val="00297799"/>
    <w:rsid w:val="002A0608"/>
    <w:rsid w:val="002A1C43"/>
    <w:rsid w:val="002A2D66"/>
    <w:rsid w:val="002A30C3"/>
    <w:rsid w:val="002A336D"/>
    <w:rsid w:val="002A36BB"/>
    <w:rsid w:val="002A5307"/>
    <w:rsid w:val="002B1478"/>
    <w:rsid w:val="002B2EA8"/>
    <w:rsid w:val="002B2F36"/>
    <w:rsid w:val="002B33F0"/>
    <w:rsid w:val="002B439B"/>
    <w:rsid w:val="002B5199"/>
    <w:rsid w:val="002C2FB3"/>
    <w:rsid w:val="002C6F27"/>
    <w:rsid w:val="002D00E1"/>
    <w:rsid w:val="002D304E"/>
    <w:rsid w:val="002D3F9C"/>
    <w:rsid w:val="002D41AE"/>
    <w:rsid w:val="002D794C"/>
    <w:rsid w:val="002E1F47"/>
    <w:rsid w:val="002E4C12"/>
    <w:rsid w:val="002E5E0A"/>
    <w:rsid w:val="002E7CCF"/>
    <w:rsid w:val="002F0AF4"/>
    <w:rsid w:val="002F105A"/>
    <w:rsid w:val="002F2043"/>
    <w:rsid w:val="002F4C24"/>
    <w:rsid w:val="002F4FFC"/>
    <w:rsid w:val="002F511A"/>
    <w:rsid w:val="003032DD"/>
    <w:rsid w:val="00304D05"/>
    <w:rsid w:val="00304DE3"/>
    <w:rsid w:val="00304EF5"/>
    <w:rsid w:val="00304FCF"/>
    <w:rsid w:val="00307048"/>
    <w:rsid w:val="003108C7"/>
    <w:rsid w:val="0031288E"/>
    <w:rsid w:val="003138AD"/>
    <w:rsid w:val="00314142"/>
    <w:rsid w:val="00316DEF"/>
    <w:rsid w:val="00323518"/>
    <w:rsid w:val="00323F55"/>
    <w:rsid w:val="003240E5"/>
    <w:rsid w:val="00324C99"/>
    <w:rsid w:val="00325A4D"/>
    <w:rsid w:val="0032791B"/>
    <w:rsid w:val="003301BF"/>
    <w:rsid w:val="00330915"/>
    <w:rsid w:val="0033231B"/>
    <w:rsid w:val="00332B24"/>
    <w:rsid w:val="00333D9F"/>
    <w:rsid w:val="00340E63"/>
    <w:rsid w:val="00343E32"/>
    <w:rsid w:val="003458D8"/>
    <w:rsid w:val="00347539"/>
    <w:rsid w:val="003501F1"/>
    <w:rsid w:val="00352E95"/>
    <w:rsid w:val="00353098"/>
    <w:rsid w:val="0035394C"/>
    <w:rsid w:val="00354612"/>
    <w:rsid w:val="00354D99"/>
    <w:rsid w:val="00360BEE"/>
    <w:rsid w:val="0036319A"/>
    <w:rsid w:val="003637DC"/>
    <w:rsid w:val="0036429C"/>
    <w:rsid w:val="00371508"/>
    <w:rsid w:val="0037243A"/>
    <w:rsid w:val="00373850"/>
    <w:rsid w:val="00374EA8"/>
    <w:rsid w:val="00376880"/>
    <w:rsid w:val="00383F2D"/>
    <w:rsid w:val="00384F4D"/>
    <w:rsid w:val="00384F93"/>
    <w:rsid w:val="00385D30"/>
    <w:rsid w:val="003876F2"/>
    <w:rsid w:val="00390021"/>
    <w:rsid w:val="00391361"/>
    <w:rsid w:val="00392B54"/>
    <w:rsid w:val="003A1786"/>
    <w:rsid w:val="003A317F"/>
    <w:rsid w:val="003A5153"/>
    <w:rsid w:val="003A5656"/>
    <w:rsid w:val="003B3A1D"/>
    <w:rsid w:val="003B3CD4"/>
    <w:rsid w:val="003B4274"/>
    <w:rsid w:val="003B5B43"/>
    <w:rsid w:val="003B650D"/>
    <w:rsid w:val="003B752A"/>
    <w:rsid w:val="003B7812"/>
    <w:rsid w:val="003C3B76"/>
    <w:rsid w:val="003C51E2"/>
    <w:rsid w:val="003C7979"/>
    <w:rsid w:val="003D0360"/>
    <w:rsid w:val="003D1F19"/>
    <w:rsid w:val="003D4DBA"/>
    <w:rsid w:val="003D5A91"/>
    <w:rsid w:val="003D5EF0"/>
    <w:rsid w:val="003D6B68"/>
    <w:rsid w:val="003D7164"/>
    <w:rsid w:val="003E3097"/>
    <w:rsid w:val="003E3820"/>
    <w:rsid w:val="003E69EF"/>
    <w:rsid w:val="003F01F7"/>
    <w:rsid w:val="003F22A6"/>
    <w:rsid w:val="003F5F3C"/>
    <w:rsid w:val="0040689B"/>
    <w:rsid w:val="00407438"/>
    <w:rsid w:val="00412B5B"/>
    <w:rsid w:val="00415DB2"/>
    <w:rsid w:val="004164BE"/>
    <w:rsid w:val="00416A10"/>
    <w:rsid w:val="00420C87"/>
    <w:rsid w:val="004220C4"/>
    <w:rsid w:val="00422903"/>
    <w:rsid w:val="0043112A"/>
    <w:rsid w:val="004318BA"/>
    <w:rsid w:val="00431F3C"/>
    <w:rsid w:val="004335F0"/>
    <w:rsid w:val="00433AC3"/>
    <w:rsid w:val="0043441D"/>
    <w:rsid w:val="00435BB2"/>
    <w:rsid w:val="004413EC"/>
    <w:rsid w:val="00441A92"/>
    <w:rsid w:val="0044358E"/>
    <w:rsid w:val="00446020"/>
    <w:rsid w:val="00450C38"/>
    <w:rsid w:val="00457135"/>
    <w:rsid w:val="004636A7"/>
    <w:rsid w:val="00466604"/>
    <w:rsid w:val="004719E8"/>
    <w:rsid w:val="00473184"/>
    <w:rsid w:val="00476701"/>
    <w:rsid w:val="00477589"/>
    <w:rsid w:val="00484BDE"/>
    <w:rsid w:val="0048506A"/>
    <w:rsid w:val="00487B4D"/>
    <w:rsid w:val="00493B9C"/>
    <w:rsid w:val="00493C37"/>
    <w:rsid w:val="00494116"/>
    <w:rsid w:val="0049540F"/>
    <w:rsid w:val="00497475"/>
    <w:rsid w:val="004975D4"/>
    <w:rsid w:val="004A0201"/>
    <w:rsid w:val="004A528D"/>
    <w:rsid w:val="004A56E3"/>
    <w:rsid w:val="004A57C3"/>
    <w:rsid w:val="004B19A1"/>
    <w:rsid w:val="004B3EFF"/>
    <w:rsid w:val="004B4370"/>
    <w:rsid w:val="004B6EB6"/>
    <w:rsid w:val="004C1070"/>
    <w:rsid w:val="004C33AD"/>
    <w:rsid w:val="004C5BAD"/>
    <w:rsid w:val="004C5E63"/>
    <w:rsid w:val="004D1749"/>
    <w:rsid w:val="004D4D4E"/>
    <w:rsid w:val="004D52C2"/>
    <w:rsid w:val="004D58E5"/>
    <w:rsid w:val="004D66E9"/>
    <w:rsid w:val="004D6F3A"/>
    <w:rsid w:val="004E053C"/>
    <w:rsid w:val="004E24C9"/>
    <w:rsid w:val="004E3C18"/>
    <w:rsid w:val="004E5B86"/>
    <w:rsid w:val="004E6BA6"/>
    <w:rsid w:val="004E7694"/>
    <w:rsid w:val="004F2E59"/>
    <w:rsid w:val="004F3805"/>
    <w:rsid w:val="004F495C"/>
    <w:rsid w:val="00501988"/>
    <w:rsid w:val="005052F2"/>
    <w:rsid w:val="00505D35"/>
    <w:rsid w:val="00506B07"/>
    <w:rsid w:val="005103BA"/>
    <w:rsid w:val="005118BB"/>
    <w:rsid w:val="00511B3A"/>
    <w:rsid w:val="005142CE"/>
    <w:rsid w:val="00520AF5"/>
    <w:rsid w:val="0052342D"/>
    <w:rsid w:val="00523B44"/>
    <w:rsid w:val="0052451F"/>
    <w:rsid w:val="0052576A"/>
    <w:rsid w:val="00527D59"/>
    <w:rsid w:val="0053126D"/>
    <w:rsid w:val="00533794"/>
    <w:rsid w:val="00534970"/>
    <w:rsid w:val="005369C3"/>
    <w:rsid w:val="005378D4"/>
    <w:rsid w:val="00541640"/>
    <w:rsid w:val="00542EF8"/>
    <w:rsid w:val="00545B4B"/>
    <w:rsid w:val="00547015"/>
    <w:rsid w:val="00550BEE"/>
    <w:rsid w:val="005538FA"/>
    <w:rsid w:val="00554445"/>
    <w:rsid w:val="00554D3F"/>
    <w:rsid w:val="005556B1"/>
    <w:rsid w:val="0055576D"/>
    <w:rsid w:val="00557FE8"/>
    <w:rsid w:val="005611B4"/>
    <w:rsid w:val="00561C5F"/>
    <w:rsid w:val="0056624C"/>
    <w:rsid w:val="00567E18"/>
    <w:rsid w:val="005735AE"/>
    <w:rsid w:val="00573ADD"/>
    <w:rsid w:val="00573EBE"/>
    <w:rsid w:val="0057718C"/>
    <w:rsid w:val="00577CDA"/>
    <w:rsid w:val="0058149A"/>
    <w:rsid w:val="0058221B"/>
    <w:rsid w:val="0058347C"/>
    <w:rsid w:val="00584507"/>
    <w:rsid w:val="0058564E"/>
    <w:rsid w:val="005957DF"/>
    <w:rsid w:val="0059675C"/>
    <w:rsid w:val="005A522B"/>
    <w:rsid w:val="005A716E"/>
    <w:rsid w:val="005B0CF2"/>
    <w:rsid w:val="005B1863"/>
    <w:rsid w:val="005B2200"/>
    <w:rsid w:val="005B3463"/>
    <w:rsid w:val="005B5E24"/>
    <w:rsid w:val="005B70A6"/>
    <w:rsid w:val="005C0A83"/>
    <w:rsid w:val="005C25F9"/>
    <w:rsid w:val="005C5566"/>
    <w:rsid w:val="005D2CA5"/>
    <w:rsid w:val="005D3622"/>
    <w:rsid w:val="005D7ADA"/>
    <w:rsid w:val="005E0014"/>
    <w:rsid w:val="005E2D38"/>
    <w:rsid w:val="005E2F4D"/>
    <w:rsid w:val="005E524F"/>
    <w:rsid w:val="005E566A"/>
    <w:rsid w:val="005E60F6"/>
    <w:rsid w:val="005E6488"/>
    <w:rsid w:val="005E7876"/>
    <w:rsid w:val="005F2D95"/>
    <w:rsid w:val="005F62D9"/>
    <w:rsid w:val="005F701A"/>
    <w:rsid w:val="005F7E30"/>
    <w:rsid w:val="006004B2"/>
    <w:rsid w:val="00602CBC"/>
    <w:rsid w:val="00603BF8"/>
    <w:rsid w:val="00604C5C"/>
    <w:rsid w:val="0060567B"/>
    <w:rsid w:val="00611B49"/>
    <w:rsid w:val="00613BF9"/>
    <w:rsid w:val="00615BC7"/>
    <w:rsid w:val="0061785E"/>
    <w:rsid w:val="00617A13"/>
    <w:rsid w:val="006227A6"/>
    <w:rsid w:val="00622ED1"/>
    <w:rsid w:val="0062386E"/>
    <w:rsid w:val="00623C24"/>
    <w:rsid w:val="00624C68"/>
    <w:rsid w:val="00625CE5"/>
    <w:rsid w:val="00630C77"/>
    <w:rsid w:val="00630F7F"/>
    <w:rsid w:val="00631799"/>
    <w:rsid w:val="00631F20"/>
    <w:rsid w:val="00632EC2"/>
    <w:rsid w:val="00633595"/>
    <w:rsid w:val="00634260"/>
    <w:rsid w:val="00637447"/>
    <w:rsid w:val="00637C81"/>
    <w:rsid w:val="00641A8C"/>
    <w:rsid w:val="0064432B"/>
    <w:rsid w:val="0064451A"/>
    <w:rsid w:val="00645820"/>
    <w:rsid w:val="006519FF"/>
    <w:rsid w:val="00651A91"/>
    <w:rsid w:val="00653D5C"/>
    <w:rsid w:val="00654E03"/>
    <w:rsid w:val="006562A4"/>
    <w:rsid w:val="00657194"/>
    <w:rsid w:val="00660B01"/>
    <w:rsid w:val="00662B82"/>
    <w:rsid w:val="00662E76"/>
    <w:rsid w:val="00665058"/>
    <w:rsid w:val="0066528A"/>
    <w:rsid w:val="006653AA"/>
    <w:rsid w:val="0066748E"/>
    <w:rsid w:val="00670853"/>
    <w:rsid w:val="00670D4B"/>
    <w:rsid w:val="0067507F"/>
    <w:rsid w:val="00675E7B"/>
    <w:rsid w:val="00676F8D"/>
    <w:rsid w:val="0068132A"/>
    <w:rsid w:val="006822C6"/>
    <w:rsid w:val="00683440"/>
    <w:rsid w:val="00685097"/>
    <w:rsid w:val="00685DED"/>
    <w:rsid w:val="00687DDD"/>
    <w:rsid w:val="0069006B"/>
    <w:rsid w:val="00691881"/>
    <w:rsid w:val="006928AE"/>
    <w:rsid w:val="006933AF"/>
    <w:rsid w:val="0069391F"/>
    <w:rsid w:val="00695081"/>
    <w:rsid w:val="0069591B"/>
    <w:rsid w:val="006959BB"/>
    <w:rsid w:val="006A764C"/>
    <w:rsid w:val="006B356C"/>
    <w:rsid w:val="006B3652"/>
    <w:rsid w:val="006B5B74"/>
    <w:rsid w:val="006C030C"/>
    <w:rsid w:val="006C0F8C"/>
    <w:rsid w:val="006C4940"/>
    <w:rsid w:val="006C69F8"/>
    <w:rsid w:val="006C6D6F"/>
    <w:rsid w:val="006D0CCD"/>
    <w:rsid w:val="006E28AB"/>
    <w:rsid w:val="006E2E9C"/>
    <w:rsid w:val="006E3509"/>
    <w:rsid w:val="006E4749"/>
    <w:rsid w:val="006E55D5"/>
    <w:rsid w:val="006E6992"/>
    <w:rsid w:val="006E6A71"/>
    <w:rsid w:val="006E6EAF"/>
    <w:rsid w:val="006E7B3B"/>
    <w:rsid w:val="006F1792"/>
    <w:rsid w:val="006F339C"/>
    <w:rsid w:val="006F4CB2"/>
    <w:rsid w:val="006F56F5"/>
    <w:rsid w:val="007010C7"/>
    <w:rsid w:val="00703A29"/>
    <w:rsid w:val="00707581"/>
    <w:rsid w:val="00710E1E"/>
    <w:rsid w:val="00713B1E"/>
    <w:rsid w:val="00714795"/>
    <w:rsid w:val="00720148"/>
    <w:rsid w:val="00720A53"/>
    <w:rsid w:val="00720E20"/>
    <w:rsid w:val="00721EE2"/>
    <w:rsid w:val="00723079"/>
    <w:rsid w:val="00724FC6"/>
    <w:rsid w:val="00731398"/>
    <w:rsid w:val="0073245E"/>
    <w:rsid w:val="00732F2E"/>
    <w:rsid w:val="0075041E"/>
    <w:rsid w:val="00750735"/>
    <w:rsid w:val="007531DD"/>
    <w:rsid w:val="00753F03"/>
    <w:rsid w:val="0075678F"/>
    <w:rsid w:val="00757B1F"/>
    <w:rsid w:val="00762AD9"/>
    <w:rsid w:val="00766840"/>
    <w:rsid w:val="0077176C"/>
    <w:rsid w:val="00773370"/>
    <w:rsid w:val="0077396E"/>
    <w:rsid w:val="00773DBA"/>
    <w:rsid w:val="00775DD1"/>
    <w:rsid w:val="00776327"/>
    <w:rsid w:val="00781BAA"/>
    <w:rsid w:val="00784A4C"/>
    <w:rsid w:val="00793352"/>
    <w:rsid w:val="007947E9"/>
    <w:rsid w:val="007948B1"/>
    <w:rsid w:val="00795601"/>
    <w:rsid w:val="00795CCC"/>
    <w:rsid w:val="00795E27"/>
    <w:rsid w:val="007A0CA0"/>
    <w:rsid w:val="007A13A0"/>
    <w:rsid w:val="007A3BE3"/>
    <w:rsid w:val="007A4277"/>
    <w:rsid w:val="007A7F34"/>
    <w:rsid w:val="007B1178"/>
    <w:rsid w:val="007B140D"/>
    <w:rsid w:val="007B4419"/>
    <w:rsid w:val="007B4F4E"/>
    <w:rsid w:val="007B52CD"/>
    <w:rsid w:val="007B7340"/>
    <w:rsid w:val="007C32A8"/>
    <w:rsid w:val="007C4B91"/>
    <w:rsid w:val="007C5C98"/>
    <w:rsid w:val="007C5CC0"/>
    <w:rsid w:val="007C62EC"/>
    <w:rsid w:val="007C6772"/>
    <w:rsid w:val="007C7969"/>
    <w:rsid w:val="007D298E"/>
    <w:rsid w:val="007D4E62"/>
    <w:rsid w:val="007D50F5"/>
    <w:rsid w:val="007E079C"/>
    <w:rsid w:val="007E19AE"/>
    <w:rsid w:val="007E558E"/>
    <w:rsid w:val="007E6CAB"/>
    <w:rsid w:val="007E7865"/>
    <w:rsid w:val="007F0E1B"/>
    <w:rsid w:val="007F11F9"/>
    <w:rsid w:val="007F55C7"/>
    <w:rsid w:val="007F7ED7"/>
    <w:rsid w:val="008009EB"/>
    <w:rsid w:val="00801709"/>
    <w:rsid w:val="008035DE"/>
    <w:rsid w:val="00803970"/>
    <w:rsid w:val="00803BE8"/>
    <w:rsid w:val="00804A17"/>
    <w:rsid w:val="00804C60"/>
    <w:rsid w:val="00805588"/>
    <w:rsid w:val="00805990"/>
    <w:rsid w:val="008114DE"/>
    <w:rsid w:val="008144A8"/>
    <w:rsid w:val="008144F8"/>
    <w:rsid w:val="00817BB6"/>
    <w:rsid w:val="00826E28"/>
    <w:rsid w:val="008275E9"/>
    <w:rsid w:val="0083328D"/>
    <w:rsid w:val="0083332F"/>
    <w:rsid w:val="0083738C"/>
    <w:rsid w:val="00837677"/>
    <w:rsid w:val="008403C3"/>
    <w:rsid w:val="00840EF9"/>
    <w:rsid w:val="00842324"/>
    <w:rsid w:val="008424C9"/>
    <w:rsid w:val="008432B9"/>
    <w:rsid w:val="00845297"/>
    <w:rsid w:val="00854476"/>
    <w:rsid w:val="00854F85"/>
    <w:rsid w:val="008553BB"/>
    <w:rsid w:val="008557B4"/>
    <w:rsid w:val="00855880"/>
    <w:rsid w:val="00860BD5"/>
    <w:rsid w:val="00862140"/>
    <w:rsid w:val="008625E3"/>
    <w:rsid w:val="00862643"/>
    <w:rsid w:val="00864A4B"/>
    <w:rsid w:val="00874700"/>
    <w:rsid w:val="00882967"/>
    <w:rsid w:val="00884946"/>
    <w:rsid w:val="0088664E"/>
    <w:rsid w:val="00886B24"/>
    <w:rsid w:val="00893C17"/>
    <w:rsid w:val="008954AB"/>
    <w:rsid w:val="00895764"/>
    <w:rsid w:val="00895FB3"/>
    <w:rsid w:val="00896661"/>
    <w:rsid w:val="008A0CC4"/>
    <w:rsid w:val="008A1A15"/>
    <w:rsid w:val="008A25A6"/>
    <w:rsid w:val="008A2C3B"/>
    <w:rsid w:val="008A5CAC"/>
    <w:rsid w:val="008A63DC"/>
    <w:rsid w:val="008A780D"/>
    <w:rsid w:val="008B0238"/>
    <w:rsid w:val="008B0CBC"/>
    <w:rsid w:val="008B1F83"/>
    <w:rsid w:val="008B3861"/>
    <w:rsid w:val="008B4928"/>
    <w:rsid w:val="008C7834"/>
    <w:rsid w:val="008C7F46"/>
    <w:rsid w:val="008D1362"/>
    <w:rsid w:val="008D2E4E"/>
    <w:rsid w:val="008D2FF9"/>
    <w:rsid w:val="008D4A19"/>
    <w:rsid w:val="008D6196"/>
    <w:rsid w:val="008D62EB"/>
    <w:rsid w:val="008D7508"/>
    <w:rsid w:val="008D7B28"/>
    <w:rsid w:val="008E0204"/>
    <w:rsid w:val="008E02F4"/>
    <w:rsid w:val="008E07D5"/>
    <w:rsid w:val="008E37C1"/>
    <w:rsid w:val="008E4495"/>
    <w:rsid w:val="008E4531"/>
    <w:rsid w:val="008E59AC"/>
    <w:rsid w:val="008F0C82"/>
    <w:rsid w:val="008F298C"/>
    <w:rsid w:val="008F66CC"/>
    <w:rsid w:val="00904CC5"/>
    <w:rsid w:val="0090736F"/>
    <w:rsid w:val="00907381"/>
    <w:rsid w:val="009105E1"/>
    <w:rsid w:val="00910A03"/>
    <w:rsid w:val="00911978"/>
    <w:rsid w:val="009237BD"/>
    <w:rsid w:val="0093172E"/>
    <w:rsid w:val="0093501B"/>
    <w:rsid w:val="00936C4F"/>
    <w:rsid w:val="00937078"/>
    <w:rsid w:val="009373A5"/>
    <w:rsid w:val="0094317F"/>
    <w:rsid w:val="0094711F"/>
    <w:rsid w:val="009508ED"/>
    <w:rsid w:val="00961CA9"/>
    <w:rsid w:val="009664D6"/>
    <w:rsid w:val="009665DF"/>
    <w:rsid w:val="00971254"/>
    <w:rsid w:val="009739A3"/>
    <w:rsid w:val="009740BE"/>
    <w:rsid w:val="00976E27"/>
    <w:rsid w:val="00981BC5"/>
    <w:rsid w:val="009822CB"/>
    <w:rsid w:val="00982D4D"/>
    <w:rsid w:val="00982D69"/>
    <w:rsid w:val="0098492D"/>
    <w:rsid w:val="00985B4B"/>
    <w:rsid w:val="009865BA"/>
    <w:rsid w:val="00987D72"/>
    <w:rsid w:val="009913B9"/>
    <w:rsid w:val="00993747"/>
    <w:rsid w:val="00995E42"/>
    <w:rsid w:val="009A0B77"/>
    <w:rsid w:val="009A2067"/>
    <w:rsid w:val="009A305D"/>
    <w:rsid w:val="009A36B9"/>
    <w:rsid w:val="009A415B"/>
    <w:rsid w:val="009A4BBD"/>
    <w:rsid w:val="009A6A6C"/>
    <w:rsid w:val="009B01C7"/>
    <w:rsid w:val="009B5B0A"/>
    <w:rsid w:val="009B79D2"/>
    <w:rsid w:val="009C2D50"/>
    <w:rsid w:val="009C385A"/>
    <w:rsid w:val="009C46BE"/>
    <w:rsid w:val="009C4AF8"/>
    <w:rsid w:val="009C5979"/>
    <w:rsid w:val="009C5AC3"/>
    <w:rsid w:val="009C7145"/>
    <w:rsid w:val="009D135C"/>
    <w:rsid w:val="009D2961"/>
    <w:rsid w:val="009D4185"/>
    <w:rsid w:val="009D5E88"/>
    <w:rsid w:val="009E2EEB"/>
    <w:rsid w:val="009E4220"/>
    <w:rsid w:val="009E4ECF"/>
    <w:rsid w:val="009E56BD"/>
    <w:rsid w:val="009E7446"/>
    <w:rsid w:val="009E7E3D"/>
    <w:rsid w:val="009F4292"/>
    <w:rsid w:val="009F61C7"/>
    <w:rsid w:val="009F7270"/>
    <w:rsid w:val="00A01903"/>
    <w:rsid w:val="00A048CE"/>
    <w:rsid w:val="00A05FF4"/>
    <w:rsid w:val="00A076B1"/>
    <w:rsid w:val="00A102C4"/>
    <w:rsid w:val="00A10524"/>
    <w:rsid w:val="00A12F66"/>
    <w:rsid w:val="00A15EB1"/>
    <w:rsid w:val="00A16491"/>
    <w:rsid w:val="00A16EBB"/>
    <w:rsid w:val="00A178C1"/>
    <w:rsid w:val="00A2078F"/>
    <w:rsid w:val="00A21684"/>
    <w:rsid w:val="00A221C2"/>
    <w:rsid w:val="00A23C1B"/>
    <w:rsid w:val="00A31740"/>
    <w:rsid w:val="00A31F62"/>
    <w:rsid w:val="00A32AC0"/>
    <w:rsid w:val="00A349CF"/>
    <w:rsid w:val="00A34CE9"/>
    <w:rsid w:val="00A35B56"/>
    <w:rsid w:val="00A35FB7"/>
    <w:rsid w:val="00A410C5"/>
    <w:rsid w:val="00A412F7"/>
    <w:rsid w:val="00A41CF1"/>
    <w:rsid w:val="00A445CF"/>
    <w:rsid w:val="00A54726"/>
    <w:rsid w:val="00A62AC1"/>
    <w:rsid w:val="00A652A7"/>
    <w:rsid w:val="00A67E6D"/>
    <w:rsid w:val="00A7062B"/>
    <w:rsid w:val="00A7136C"/>
    <w:rsid w:val="00A72052"/>
    <w:rsid w:val="00A73176"/>
    <w:rsid w:val="00A80E7E"/>
    <w:rsid w:val="00A80EEE"/>
    <w:rsid w:val="00A8288D"/>
    <w:rsid w:val="00A829E8"/>
    <w:rsid w:val="00A83216"/>
    <w:rsid w:val="00A85E76"/>
    <w:rsid w:val="00A87065"/>
    <w:rsid w:val="00A92BAF"/>
    <w:rsid w:val="00A96E7A"/>
    <w:rsid w:val="00A97B58"/>
    <w:rsid w:val="00AA0E14"/>
    <w:rsid w:val="00AA36FE"/>
    <w:rsid w:val="00AA44D1"/>
    <w:rsid w:val="00AA4FDA"/>
    <w:rsid w:val="00AA705F"/>
    <w:rsid w:val="00AB1DAF"/>
    <w:rsid w:val="00AB1FBF"/>
    <w:rsid w:val="00AB34F9"/>
    <w:rsid w:val="00AB51FC"/>
    <w:rsid w:val="00AC255D"/>
    <w:rsid w:val="00AC33C5"/>
    <w:rsid w:val="00AD2176"/>
    <w:rsid w:val="00AD3B42"/>
    <w:rsid w:val="00AD61D6"/>
    <w:rsid w:val="00AD745D"/>
    <w:rsid w:val="00AD7ABF"/>
    <w:rsid w:val="00AE15D8"/>
    <w:rsid w:val="00AE1EF6"/>
    <w:rsid w:val="00AE2578"/>
    <w:rsid w:val="00AE392F"/>
    <w:rsid w:val="00AE4D13"/>
    <w:rsid w:val="00AF3B2D"/>
    <w:rsid w:val="00B0118C"/>
    <w:rsid w:val="00B024B3"/>
    <w:rsid w:val="00B02AD0"/>
    <w:rsid w:val="00B02B8C"/>
    <w:rsid w:val="00B0441F"/>
    <w:rsid w:val="00B048FA"/>
    <w:rsid w:val="00B05EA0"/>
    <w:rsid w:val="00B06A03"/>
    <w:rsid w:val="00B1298F"/>
    <w:rsid w:val="00B12D93"/>
    <w:rsid w:val="00B20873"/>
    <w:rsid w:val="00B2178F"/>
    <w:rsid w:val="00B246F6"/>
    <w:rsid w:val="00B26421"/>
    <w:rsid w:val="00B30A67"/>
    <w:rsid w:val="00B32DA8"/>
    <w:rsid w:val="00B33BC4"/>
    <w:rsid w:val="00B3475B"/>
    <w:rsid w:val="00B4035A"/>
    <w:rsid w:val="00B42638"/>
    <w:rsid w:val="00B4710A"/>
    <w:rsid w:val="00B47B5A"/>
    <w:rsid w:val="00B5338A"/>
    <w:rsid w:val="00B57AD1"/>
    <w:rsid w:val="00B63321"/>
    <w:rsid w:val="00B64073"/>
    <w:rsid w:val="00B65E8F"/>
    <w:rsid w:val="00B66F91"/>
    <w:rsid w:val="00B67E83"/>
    <w:rsid w:val="00B70DAA"/>
    <w:rsid w:val="00B72174"/>
    <w:rsid w:val="00B757AE"/>
    <w:rsid w:val="00B76EB1"/>
    <w:rsid w:val="00B77C59"/>
    <w:rsid w:val="00B84C8D"/>
    <w:rsid w:val="00B84FD1"/>
    <w:rsid w:val="00B852C2"/>
    <w:rsid w:val="00B910D0"/>
    <w:rsid w:val="00BA2120"/>
    <w:rsid w:val="00BA2AE7"/>
    <w:rsid w:val="00BA528A"/>
    <w:rsid w:val="00BA5A09"/>
    <w:rsid w:val="00BA62E1"/>
    <w:rsid w:val="00BA63EB"/>
    <w:rsid w:val="00BA684E"/>
    <w:rsid w:val="00BB133D"/>
    <w:rsid w:val="00BB2429"/>
    <w:rsid w:val="00BB352D"/>
    <w:rsid w:val="00BC1409"/>
    <w:rsid w:val="00BC1F1B"/>
    <w:rsid w:val="00BC3AD4"/>
    <w:rsid w:val="00BC5479"/>
    <w:rsid w:val="00BC5E23"/>
    <w:rsid w:val="00BC6DAC"/>
    <w:rsid w:val="00BD2A31"/>
    <w:rsid w:val="00BD2F3E"/>
    <w:rsid w:val="00BD35CE"/>
    <w:rsid w:val="00BD6FD5"/>
    <w:rsid w:val="00BD72E5"/>
    <w:rsid w:val="00BD76AB"/>
    <w:rsid w:val="00BD7BFE"/>
    <w:rsid w:val="00BE0710"/>
    <w:rsid w:val="00BE5E2F"/>
    <w:rsid w:val="00BE7185"/>
    <w:rsid w:val="00BE7625"/>
    <w:rsid w:val="00BE7685"/>
    <w:rsid w:val="00BF20FB"/>
    <w:rsid w:val="00BF2973"/>
    <w:rsid w:val="00BF2E4B"/>
    <w:rsid w:val="00BF2FBA"/>
    <w:rsid w:val="00BF5ADA"/>
    <w:rsid w:val="00BF6B47"/>
    <w:rsid w:val="00BF7AF6"/>
    <w:rsid w:val="00C00B83"/>
    <w:rsid w:val="00C02952"/>
    <w:rsid w:val="00C078F1"/>
    <w:rsid w:val="00C106FA"/>
    <w:rsid w:val="00C11032"/>
    <w:rsid w:val="00C119DA"/>
    <w:rsid w:val="00C125B8"/>
    <w:rsid w:val="00C12DC4"/>
    <w:rsid w:val="00C14511"/>
    <w:rsid w:val="00C20BA9"/>
    <w:rsid w:val="00C226FA"/>
    <w:rsid w:val="00C23D70"/>
    <w:rsid w:val="00C25727"/>
    <w:rsid w:val="00C278C9"/>
    <w:rsid w:val="00C3185D"/>
    <w:rsid w:val="00C348E8"/>
    <w:rsid w:val="00C36572"/>
    <w:rsid w:val="00C41C8D"/>
    <w:rsid w:val="00C420AE"/>
    <w:rsid w:val="00C42660"/>
    <w:rsid w:val="00C4549C"/>
    <w:rsid w:val="00C462B8"/>
    <w:rsid w:val="00C4690C"/>
    <w:rsid w:val="00C47A08"/>
    <w:rsid w:val="00C507EC"/>
    <w:rsid w:val="00C5110D"/>
    <w:rsid w:val="00C51381"/>
    <w:rsid w:val="00C52308"/>
    <w:rsid w:val="00C53BD3"/>
    <w:rsid w:val="00C540FC"/>
    <w:rsid w:val="00C56848"/>
    <w:rsid w:val="00C61063"/>
    <w:rsid w:val="00C61DA0"/>
    <w:rsid w:val="00C62F9A"/>
    <w:rsid w:val="00C6495B"/>
    <w:rsid w:val="00C65580"/>
    <w:rsid w:val="00C71DF9"/>
    <w:rsid w:val="00C75AFB"/>
    <w:rsid w:val="00C831C3"/>
    <w:rsid w:val="00C9087D"/>
    <w:rsid w:val="00C912F4"/>
    <w:rsid w:val="00C91EBA"/>
    <w:rsid w:val="00C97981"/>
    <w:rsid w:val="00CA0576"/>
    <w:rsid w:val="00CA0A89"/>
    <w:rsid w:val="00CA33ED"/>
    <w:rsid w:val="00CA3DD8"/>
    <w:rsid w:val="00CA6B45"/>
    <w:rsid w:val="00CA6FDD"/>
    <w:rsid w:val="00CB1712"/>
    <w:rsid w:val="00CB24EC"/>
    <w:rsid w:val="00CB3983"/>
    <w:rsid w:val="00CB449A"/>
    <w:rsid w:val="00CB7101"/>
    <w:rsid w:val="00CB763C"/>
    <w:rsid w:val="00CC0D6B"/>
    <w:rsid w:val="00CC139B"/>
    <w:rsid w:val="00CC1C1A"/>
    <w:rsid w:val="00CC289F"/>
    <w:rsid w:val="00CC2E37"/>
    <w:rsid w:val="00CC37B1"/>
    <w:rsid w:val="00CC5D0D"/>
    <w:rsid w:val="00CC5F4C"/>
    <w:rsid w:val="00CC7E6D"/>
    <w:rsid w:val="00CD0ABA"/>
    <w:rsid w:val="00CD0ED0"/>
    <w:rsid w:val="00CD29EE"/>
    <w:rsid w:val="00CD4B0C"/>
    <w:rsid w:val="00CD525D"/>
    <w:rsid w:val="00CD6A63"/>
    <w:rsid w:val="00CD74CB"/>
    <w:rsid w:val="00CE09F4"/>
    <w:rsid w:val="00CE2D33"/>
    <w:rsid w:val="00CE43C1"/>
    <w:rsid w:val="00CE65CC"/>
    <w:rsid w:val="00CE6FEC"/>
    <w:rsid w:val="00CE6FF8"/>
    <w:rsid w:val="00CE7F57"/>
    <w:rsid w:val="00CF4011"/>
    <w:rsid w:val="00CF7697"/>
    <w:rsid w:val="00D01D86"/>
    <w:rsid w:val="00D02004"/>
    <w:rsid w:val="00D02CC4"/>
    <w:rsid w:val="00D132D7"/>
    <w:rsid w:val="00D137C7"/>
    <w:rsid w:val="00D14FFE"/>
    <w:rsid w:val="00D21218"/>
    <w:rsid w:val="00D225AD"/>
    <w:rsid w:val="00D25A85"/>
    <w:rsid w:val="00D26A8F"/>
    <w:rsid w:val="00D32F09"/>
    <w:rsid w:val="00D35E70"/>
    <w:rsid w:val="00D36F5D"/>
    <w:rsid w:val="00D4002F"/>
    <w:rsid w:val="00D4145D"/>
    <w:rsid w:val="00D439F1"/>
    <w:rsid w:val="00D445F8"/>
    <w:rsid w:val="00D44A2E"/>
    <w:rsid w:val="00D47D6C"/>
    <w:rsid w:val="00D50124"/>
    <w:rsid w:val="00D5186B"/>
    <w:rsid w:val="00D51D37"/>
    <w:rsid w:val="00D5487D"/>
    <w:rsid w:val="00D54C7C"/>
    <w:rsid w:val="00D55E75"/>
    <w:rsid w:val="00D55F98"/>
    <w:rsid w:val="00D5670E"/>
    <w:rsid w:val="00D6005E"/>
    <w:rsid w:val="00D63F7B"/>
    <w:rsid w:val="00D67B6C"/>
    <w:rsid w:val="00D71DF1"/>
    <w:rsid w:val="00D723F1"/>
    <w:rsid w:val="00D73AB3"/>
    <w:rsid w:val="00D73AF7"/>
    <w:rsid w:val="00D74CEF"/>
    <w:rsid w:val="00D76117"/>
    <w:rsid w:val="00D7711B"/>
    <w:rsid w:val="00D807CF"/>
    <w:rsid w:val="00D811C1"/>
    <w:rsid w:val="00D81C6C"/>
    <w:rsid w:val="00D81F99"/>
    <w:rsid w:val="00D83079"/>
    <w:rsid w:val="00D911B0"/>
    <w:rsid w:val="00D9307A"/>
    <w:rsid w:val="00D93DD4"/>
    <w:rsid w:val="00D953FA"/>
    <w:rsid w:val="00D957B1"/>
    <w:rsid w:val="00D95915"/>
    <w:rsid w:val="00D95971"/>
    <w:rsid w:val="00D97094"/>
    <w:rsid w:val="00DA2BF1"/>
    <w:rsid w:val="00DA2F8F"/>
    <w:rsid w:val="00DB1FA6"/>
    <w:rsid w:val="00DC1551"/>
    <w:rsid w:val="00DC1DEA"/>
    <w:rsid w:val="00DC6157"/>
    <w:rsid w:val="00DC6FE4"/>
    <w:rsid w:val="00DD0BA2"/>
    <w:rsid w:val="00DD1766"/>
    <w:rsid w:val="00DD3922"/>
    <w:rsid w:val="00DD7A54"/>
    <w:rsid w:val="00DE20F9"/>
    <w:rsid w:val="00DE2B95"/>
    <w:rsid w:val="00DE3457"/>
    <w:rsid w:val="00DE4551"/>
    <w:rsid w:val="00DE5BE5"/>
    <w:rsid w:val="00DE611D"/>
    <w:rsid w:val="00DE7E39"/>
    <w:rsid w:val="00DF40DD"/>
    <w:rsid w:val="00DF5094"/>
    <w:rsid w:val="00DF77BC"/>
    <w:rsid w:val="00DF7833"/>
    <w:rsid w:val="00DF7DF7"/>
    <w:rsid w:val="00DF7E07"/>
    <w:rsid w:val="00E007B1"/>
    <w:rsid w:val="00E055DA"/>
    <w:rsid w:val="00E07162"/>
    <w:rsid w:val="00E113C1"/>
    <w:rsid w:val="00E12020"/>
    <w:rsid w:val="00E12AB9"/>
    <w:rsid w:val="00E130E8"/>
    <w:rsid w:val="00E13D0A"/>
    <w:rsid w:val="00E1492E"/>
    <w:rsid w:val="00E15FC1"/>
    <w:rsid w:val="00E20F7E"/>
    <w:rsid w:val="00E217F1"/>
    <w:rsid w:val="00E21E01"/>
    <w:rsid w:val="00E2460D"/>
    <w:rsid w:val="00E2488F"/>
    <w:rsid w:val="00E24F93"/>
    <w:rsid w:val="00E26D8A"/>
    <w:rsid w:val="00E26F03"/>
    <w:rsid w:val="00E30EB8"/>
    <w:rsid w:val="00E41807"/>
    <w:rsid w:val="00E4407F"/>
    <w:rsid w:val="00E45108"/>
    <w:rsid w:val="00E46168"/>
    <w:rsid w:val="00E47077"/>
    <w:rsid w:val="00E4788F"/>
    <w:rsid w:val="00E523C5"/>
    <w:rsid w:val="00E52E90"/>
    <w:rsid w:val="00E531A7"/>
    <w:rsid w:val="00E56934"/>
    <w:rsid w:val="00E62AFD"/>
    <w:rsid w:val="00E65B4C"/>
    <w:rsid w:val="00E7364D"/>
    <w:rsid w:val="00E73E34"/>
    <w:rsid w:val="00E75BB6"/>
    <w:rsid w:val="00E76504"/>
    <w:rsid w:val="00E76D03"/>
    <w:rsid w:val="00E800D4"/>
    <w:rsid w:val="00E824C6"/>
    <w:rsid w:val="00E848FB"/>
    <w:rsid w:val="00E861BA"/>
    <w:rsid w:val="00E90091"/>
    <w:rsid w:val="00E9056E"/>
    <w:rsid w:val="00E91264"/>
    <w:rsid w:val="00E946B6"/>
    <w:rsid w:val="00EA08C9"/>
    <w:rsid w:val="00EA7556"/>
    <w:rsid w:val="00EA7797"/>
    <w:rsid w:val="00EB10DB"/>
    <w:rsid w:val="00EB1FBD"/>
    <w:rsid w:val="00EB342B"/>
    <w:rsid w:val="00EB4980"/>
    <w:rsid w:val="00EB4EE9"/>
    <w:rsid w:val="00EB5E96"/>
    <w:rsid w:val="00EB5F84"/>
    <w:rsid w:val="00EC2044"/>
    <w:rsid w:val="00EC5CF3"/>
    <w:rsid w:val="00EC6F11"/>
    <w:rsid w:val="00EC6F62"/>
    <w:rsid w:val="00ED064F"/>
    <w:rsid w:val="00ED15C9"/>
    <w:rsid w:val="00ED3E7E"/>
    <w:rsid w:val="00ED7232"/>
    <w:rsid w:val="00ED7CBC"/>
    <w:rsid w:val="00EE1A03"/>
    <w:rsid w:val="00EE6095"/>
    <w:rsid w:val="00EE7076"/>
    <w:rsid w:val="00EF073F"/>
    <w:rsid w:val="00EF3018"/>
    <w:rsid w:val="00EF40F0"/>
    <w:rsid w:val="00F014DB"/>
    <w:rsid w:val="00F07A4C"/>
    <w:rsid w:val="00F1079C"/>
    <w:rsid w:val="00F127D9"/>
    <w:rsid w:val="00F12DCC"/>
    <w:rsid w:val="00F15B88"/>
    <w:rsid w:val="00F21B99"/>
    <w:rsid w:val="00F22930"/>
    <w:rsid w:val="00F23B4C"/>
    <w:rsid w:val="00F25D7C"/>
    <w:rsid w:val="00F3028E"/>
    <w:rsid w:val="00F30840"/>
    <w:rsid w:val="00F31AF8"/>
    <w:rsid w:val="00F31CCB"/>
    <w:rsid w:val="00F33162"/>
    <w:rsid w:val="00F33728"/>
    <w:rsid w:val="00F35222"/>
    <w:rsid w:val="00F354F6"/>
    <w:rsid w:val="00F35AC9"/>
    <w:rsid w:val="00F36106"/>
    <w:rsid w:val="00F4275E"/>
    <w:rsid w:val="00F44326"/>
    <w:rsid w:val="00F458F3"/>
    <w:rsid w:val="00F55236"/>
    <w:rsid w:val="00F553B1"/>
    <w:rsid w:val="00F55E25"/>
    <w:rsid w:val="00F6102D"/>
    <w:rsid w:val="00F62D9B"/>
    <w:rsid w:val="00F647B1"/>
    <w:rsid w:val="00F670C7"/>
    <w:rsid w:val="00F70796"/>
    <w:rsid w:val="00F744A2"/>
    <w:rsid w:val="00F751B6"/>
    <w:rsid w:val="00F82359"/>
    <w:rsid w:val="00F837AE"/>
    <w:rsid w:val="00F861BB"/>
    <w:rsid w:val="00F933FC"/>
    <w:rsid w:val="00F95F8F"/>
    <w:rsid w:val="00FA5D53"/>
    <w:rsid w:val="00FA5FE3"/>
    <w:rsid w:val="00FB010E"/>
    <w:rsid w:val="00FB3EAD"/>
    <w:rsid w:val="00FB4275"/>
    <w:rsid w:val="00FB520C"/>
    <w:rsid w:val="00FB5676"/>
    <w:rsid w:val="00FB655C"/>
    <w:rsid w:val="00FB73B3"/>
    <w:rsid w:val="00FC1B75"/>
    <w:rsid w:val="00FC245F"/>
    <w:rsid w:val="00FC2874"/>
    <w:rsid w:val="00FC2C7F"/>
    <w:rsid w:val="00FC3609"/>
    <w:rsid w:val="00FC4CBA"/>
    <w:rsid w:val="00FC6B0C"/>
    <w:rsid w:val="00FD045C"/>
    <w:rsid w:val="00FD13D5"/>
    <w:rsid w:val="00FD3F1F"/>
    <w:rsid w:val="00FD5B2A"/>
    <w:rsid w:val="00FE0E0D"/>
    <w:rsid w:val="00FE433D"/>
    <w:rsid w:val="00FE6BDD"/>
    <w:rsid w:val="00FE7D7D"/>
    <w:rsid w:val="00FF074C"/>
    <w:rsid w:val="00FF0C57"/>
    <w:rsid w:val="00FF4F0F"/>
    <w:rsid w:val="00FF5A01"/>
    <w:rsid w:val="00FF5DB1"/>
    <w:rsid w:val="00FF6747"/>
    <w:rsid w:val="060966D6"/>
    <w:rsid w:val="0B762337"/>
    <w:rsid w:val="0CC53D13"/>
    <w:rsid w:val="0E111E41"/>
    <w:rsid w:val="10ED5CE8"/>
    <w:rsid w:val="11EE3892"/>
    <w:rsid w:val="143B61A9"/>
    <w:rsid w:val="16685C52"/>
    <w:rsid w:val="184A018F"/>
    <w:rsid w:val="188557B3"/>
    <w:rsid w:val="1DF04C6D"/>
    <w:rsid w:val="1E680B65"/>
    <w:rsid w:val="1FA170D5"/>
    <w:rsid w:val="221B5242"/>
    <w:rsid w:val="2415521C"/>
    <w:rsid w:val="251E2E05"/>
    <w:rsid w:val="25BF0E9C"/>
    <w:rsid w:val="27AE4FA6"/>
    <w:rsid w:val="2A437B85"/>
    <w:rsid w:val="2B2612A2"/>
    <w:rsid w:val="3663492D"/>
    <w:rsid w:val="366F38FB"/>
    <w:rsid w:val="3806030C"/>
    <w:rsid w:val="398C0C36"/>
    <w:rsid w:val="39BB7CB4"/>
    <w:rsid w:val="3B905774"/>
    <w:rsid w:val="3D1131EE"/>
    <w:rsid w:val="3DF751F7"/>
    <w:rsid w:val="3E633540"/>
    <w:rsid w:val="40357F9B"/>
    <w:rsid w:val="40B908FF"/>
    <w:rsid w:val="41B52805"/>
    <w:rsid w:val="463D2DC2"/>
    <w:rsid w:val="479735A4"/>
    <w:rsid w:val="495476EA"/>
    <w:rsid w:val="4AA23088"/>
    <w:rsid w:val="4B7D5098"/>
    <w:rsid w:val="4BAD550C"/>
    <w:rsid w:val="4C8D35D8"/>
    <w:rsid w:val="4CAF4DD9"/>
    <w:rsid w:val="4CB00508"/>
    <w:rsid w:val="4CFC11D7"/>
    <w:rsid w:val="507850DE"/>
    <w:rsid w:val="54E1744F"/>
    <w:rsid w:val="56625BBE"/>
    <w:rsid w:val="573028B9"/>
    <w:rsid w:val="5AC52DBA"/>
    <w:rsid w:val="5E977BCC"/>
    <w:rsid w:val="5F772A3A"/>
    <w:rsid w:val="5FA84814"/>
    <w:rsid w:val="60851313"/>
    <w:rsid w:val="64683974"/>
    <w:rsid w:val="662E179E"/>
    <w:rsid w:val="67495370"/>
    <w:rsid w:val="679947FE"/>
    <w:rsid w:val="697B3314"/>
    <w:rsid w:val="6AD027B2"/>
    <w:rsid w:val="6D064A6C"/>
    <w:rsid w:val="6EB31509"/>
    <w:rsid w:val="70C67555"/>
    <w:rsid w:val="70E809B9"/>
    <w:rsid w:val="717A76BD"/>
    <w:rsid w:val="74106289"/>
    <w:rsid w:val="74CC284F"/>
    <w:rsid w:val="7734345E"/>
    <w:rsid w:val="778C5B77"/>
    <w:rsid w:val="790A12DB"/>
    <w:rsid w:val="7A233B92"/>
    <w:rsid w:val="7AED4F39"/>
    <w:rsid w:val="7BB46B40"/>
    <w:rsid w:val="7E885175"/>
    <w:rsid w:val="7EE05778"/>
    <w:rsid w:val="7F42235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9" w:semiHidden="0"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name="toc 1" w:locked="1"/>
    <w:lsdException w:qFormat="1" w:uiPriority="39" w:name="toc 2" w:locked="1"/>
    <w:lsdException w:qFormat="1"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0" w:name="footnote text"/>
    <w:lsdException w:qFormat="1" w:uiPriority="0"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qFormat="1" w:unhideWhenUsed="0" w:uiPriority="0" w:semiHidden="0" w:name="table of authorities"/>
    <w:lsdException w:uiPriority="0" w:name="macro"/>
    <w:lsdException w:uiPriority="0" w:name="toa heading"/>
    <w:lsdException w:unhideWhenUsed="0" w:uiPriority="0" w:semiHidden="0" w:name="List"/>
    <w:lsdException w:qFormat="1" w:unhideWhenUsed="0" w:uiPriority="99"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ocked="1"/>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11" w:semiHidden="0" w:name="Subtitle" w:locked="1"/>
    <w:lsdException w:uiPriority="0" w:name="Salutation"/>
    <w:lsdException w:qFormat="1" w:unhideWhenUsed="0" w:uiPriority="99" w:name="Date"/>
    <w:lsdException w:uiPriority="0" w:name="Body Text First Indent"/>
    <w:lsdException w:uiPriority="0" w:name="Body Text First Indent 2"/>
    <w:lsdException w:uiPriority="0" w:name="Note Heading"/>
    <w:lsdException w:uiPriority="0" w:name="Body Text 2"/>
    <w:lsdException w:qFormat="1" w:unhideWhenUsed="0" w:uiPriority="99" w:semiHidden="0" w:name="Body Text 3"/>
    <w:lsdException w:uiPriority="0" w:name="Body Text Indent 2"/>
    <w:lsdException w:uiPriority="0" w:name="Body Text Indent 3"/>
    <w:lsdException w:uiPriority="0" w:name="Block Text"/>
    <w:lsdException w:qFormat="1" w:unhideWhenUsed="0" w:uiPriority="99" w:name="Hyperlink"/>
    <w:lsdException w:uiPriority="99" w:name="FollowedHyperlink" w:locked="1"/>
    <w:lsdException w:qFormat="1" w:unhideWhenUsed="0" w:uiPriority="99" w:semiHidden="0" w:name="Strong"/>
    <w:lsdException w:qFormat="1" w:unhideWhenUsed="0" w:uiPriority="20" w:semiHidden="0" w:name="Emphasis" w:locked="1"/>
    <w:lsdException w:qFormat="1" w:unhideWhenUsed="0" w:uiPriority="99"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3"/>
    <w:link w:val="30"/>
    <w:qFormat/>
    <w:uiPriority w:val="99"/>
    <w:pPr>
      <w:keepNext/>
      <w:widowControl/>
      <w:spacing w:before="240" w:after="240"/>
      <w:outlineLvl w:val="0"/>
    </w:pPr>
    <w:rPr>
      <w:rFonts w:ascii="Arial" w:hAnsi="Arial" w:eastAsia="黑体" w:cs="Arial"/>
      <w:b/>
      <w:bCs/>
      <w:kern w:val="0"/>
      <w:sz w:val="32"/>
      <w:szCs w:val="32"/>
    </w:rPr>
  </w:style>
  <w:style w:type="paragraph" w:styleId="3">
    <w:name w:val="heading 2"/>
    <w:basedOn w:val="1"/>
    <w:next w:val="1"/>
    <w:link w:val="31"/>
    <w:qFormat/>
    <w:uiPriority w:val="99"/>
    <w:pPr>
      <w:keepNext/>
      <w:widowControl/>
      <w:numPr>
        <w:ilvl w:val="1"/>
        <w:numId w:val="1"/>
      </w:numPr>
      <w:tabs>
        <w:tab w:val="left" w:pos="5747"/>
      </w:tabs>
      <w:spacing w:before="240" w:after="240"/>
      <w:outlineLvl w:val="1"/>
    </w:pPr>
    <w:rPr>
      <w:rFonts w:ascii="Arial" w:hAnsi="Arial" w:eastAsia="黑体" w:cs="Arial"/>
      <w:kern w:val="0"/>
      <w:sz w:val="24"/>
      <w:szCs w:val="24"/>
    </w:rPr>
  </w:style>
  <w:style w:type="paragraph" w:styleId="4">
    <w:name w:val="heading 3"/>
    <w:basedOn w:val="1"/>
    <w:next w:val="1"/>
    <w:link w:val="32"/>
    <w:qFormat/>
    <w:uiPriority w:val="99"/>
    <w:pPr>
      <w:keepNext/>
      <w:keepLines/>
      <w:numPr>
        <w:ilvl w:val="2"/>
        <w:numId w:val="1"/>
      </w:numPr>
      <w:tabs>
        <w:tab w:val="left" w:pos="5747"/>
      </w:tabs>
      <w:spacing w:before="260" w:after="260" w:line="416" w:lineRule="auto"/>
      <w:ind w:left="993" w:firstLine="0"/>
      <w:outlineLvl w:val="2"/>
    </w:pPr>
    <w:rPr>
      <w:rFonts w:ascii="Arial" w:hAnsi="Arial" w:cs="Arial"/>
      <w:sz w:val="24"/>
      <w:szCs w:val="24"/>
    </w:rPr>
  </w:style>
  <w:style w:type="paragraph" w:styleId="5">
    <w:name w:val="heading 4"/>
    <w:basedOn w:val="1"/>
    <w:next w:val="1"/>
    <w:link w:val="33"/>
    <w:qFormat/>
    <w:uiPriority w:val="99"/>
    <w:pPr>
      <w:keepNext/>
      <w:widowControl/>
      <w:spacing w:before="160" w:after="160"/>
      <w:jc w:val="left"/>
      <w:outlineLvl w:val="3"/>
    </w:pPr>
    <w:rPr>
      <w:rFonts w:ascii="黑体" w:hAnsi="Arial" w:eastAsia="黑体" w:cs="黑体"/>
      <w:color w:val="000000"/>
      <w:kern w:val="0"/>
      <w:sz w:val="28"/>
      <w:szCs w:val="28"/>
    </w:rPr>
  </w:style>
  <w:style w:type="paragraph" w:styleId="6">
    <w:name w:val="heading 5"/>
    <w:basedOn w:val="1"/>
    <w:next w:val="1"/>
    <w:link w:val="34"/>
    <w:qFormat/>
    <w:uiPriority w:val="99"/>
    <w:pPr>
      <w:keepNext/>
      <w:keepLines/>
      <w:spacing w:before="280" w:after="290" w:line="376" w:lineRule="auto"/>
      <w:outlineLvl w:val="4"/>
    </w:pPr>
    <w:rPr>
      <w:b/>
      <w:bCs/>
      <w:kern w:val="0"/>
      <w:sz w:val="28"/>
      <w:szCs w:val="28"/>
    </w:rPr>
  </w:style>
  <w:style w:type="paragraph" w:styleId="7">
    <w:name w:val="heading 6"/>
    <w:basedOn w:val="1"/>
    <w:next w:val="1"/>
    <w:link w:val="49"/>
    <w:unhideWhenUsed/>
    <w:qFormat/>
    <w:locked/>
    <w:uiPriority w:val="9"/>
    <w:pPr>
      <w:keepNext/>
      <w:keepLines/>
      <w:spacing w:before="240" w:after="64" w:line="320" w:lineRule="auto"/>
      <w:outlineLvl w:val="5"/>
    </w:pPr>
    <w:rPr>
      <w:rFonts w:ascii="Cambria" w:hAnsi="Cambria"/>
      <w:b/>
      <w:bCs/>
      <w:sz w:val="24"/>
      <w:szCs w:val="24"/>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8">
    <w:name w:val="table of authorities"/>
    <w:basedOn w:val="1"/>
    <w:next w:val="1"/>
    <w:qFormat/>
    <w:uiPriority w:val="0"/>
    <w:pPr>
      <w:ind w:left="420" w:leftChars="200"/>
    </w:pPr>
  </w:style>
  <w:style w:type="paragraph" w:styleId="9">
    <w:name w:val="Normal Indent"/>
    <w:basedOn w:val="1"/>
    <w:qFormat/>
    <w:uiPriority w:val="99"/>
    <w:pPr>
      <w:autoSpaceDE w:val="0"/>
      <w:autoSpaceDN w:val="0"/>
      <w:adjustRightInd w:val="0"/>
      <w:ind w:firstLine="420"/>
      <w:jc w:val="left"/>
    </w:pPr>
    <w:rPr>
      <w:rFonts w:ascii="宋体" w:cs="宋体"/>
      <w:kern w:val="0"/>
      <w:sz w:val="24"/>
      <w:szCs w:val="24"/>
    </w:rPr>
  </w:style>
  <w:style w:type="paragraph" w:styleId="10">
    <w:name w:val="List Bullet"/>
    <w:basedOn w:val="1"/>
    <w:qFormat/>
    <w:uiPriority w:val="99"/>
    <w:pPr>
      <w:numPr>
        <w:ilvl w:val="0"/>
        <w:numId w:val="2"/>
      </w:numPr>
    </w:pPr>
  </w:style>
  <w:style w:type="paragraph" w:styleId="11">
    <w:name w:val="Document Map"/>
    <w:basedOn w:val="1"/>
    <w:link w:val="35"/>
    <w:semiHidden/>
    <w:qFormat/>
    <w:uiPriority w:val="99"/>
    <w:rPr>
      <w:rFonts w:ascii="宋体" w:cs="宋体"/>
      <w:kern w:val="0"/>
      <w:sz w:val="18"/>
      <w:szCs w:val="18"/>
    </w:rPr>
  </w:style>
  <w:style w:type="paragraph" w:styleId="12">
    <w:name w:val="annotation text"/>
    <w:basedOn w:val="1"/>
    <w:link w:val="57"/>
    <w:semiHidden/>
    <w:unhideWhenUsed/>
    <w:qFormat/>
    <w:uiPriority w:val="0"/>
    <w:pPr>
      <w:jc w:val="left"/>
    </w:pPr>
  </w:style>
  <w:style w:type="paragraph" w:styleId="13">
    <w:name w:val="Body Text 3"/>
    <w:basedOn w:val="1"/>
    <w:link w:val="36"/>
    <w:qFormat/>
    <w:uiPriority w:val="99"/>
    <w:pPr>
      <w:widowControl/>
      <w:topLinePunct/>
      <w:adjustRightInd w:val="0"/>
      <w:snapToGrid w:val="0"/>
      <w:spacing w:before="160" w:after="120" w:line="240" w:lineRule="atLeast"/>
      <w:ind w:left="1701"/>
      <w:jc w:val="left"/>
    </w:pPr>
    <w:rPr>
      <w:kern w:val="0"/>
      <w:sz w:val="16"/>
      <w:szCs w:val="16"/>
    </w:rPr>
  </w:style>
  <w:style w:type="paragraph" w:styleId="14">
    <w:name w:val="toc 3"/>
    <w:basedOn w:val="1"/>
    <w:next w:val="1"/>
    <w:semiHidden/>
    <w:unhideWhenUsed/>
    <w:qFormat/>
    <w:locked/>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5">
    <w:name w:val="Date"/>
    <w:basedOn w:val="1"/>
    <w:next w:val="1"/>
    <w:link w:val="48"/>
    <w:semiHidden/>
    <w:qFormat/>
    <w:uiPriority w:val="99"/>
    <w:pPr>
      <w:ind w:left="100" w:leftChars="2500"/>
    </w:pPr>
  </w:style>
  <w:style w:type="paragraph" w:styleId="16">
    <w:name w:val="Balloon Text"/>
    <w:basedOn w:val="1"/>
    <w:link w:val="37"/>
    <w:semiHidden/>
    <w:qFormat/>
    <w:uiPriority w:val="99"/>
    <w:rPr>
      <w:kern w:val="0"/>
      <w:sz w:val="18"/>
      <w:szCs w:val="18"/>
    </w:rPr>
  </w:style>
  <w:style w:type="paragraph" w:styleId="17">
    <w:name w:val="footer"/>
    <w:basedOn w:val="1"/>
    <w:link w:val="38"/>
    <w:qFormat/>
    <w:uiPriority w:val="99"/>
    <w:pPr>
      <w:tabs>
        <w:tab w:val="center" w:pos="4153"/>
        <w:tab w:val="right" w:pos="8306"/>
      </w:tabs>
      <w:snapToGrid w:val="0"/>
      <w:jc w:val="left"/>
    </w:pPr>
    <w:rPr>
      <w:kern w:val="0"/>
      <w:sz w:val="18"/>
      <w:szCs w:val="18"/>
    </w:rPr>
  </w:style>
  <w:style w:type="paragraph" w:styleId="18">
    <w:name w:val="header"/>
    <w:basedOn w:val="1"/>
    <w:link w:val="39"/>
    <w:qFormat/>
    <w:uiPriority w:val="99"/>
    <w:pPr>
      <w:pBdr>
        <w:bottom w:val="single" w:color="auto" w:sz="6" w:space="1"/>
      </w:pBdr>
      <w:tabs>
        <w:tab w:val="center" w:pos="4153"/>
        <w:tab w:val="right" w:pos="8306"/>
      </w:tabs>
      <w:snapToGrid w:val="0"/>
      <w:jc w:val="center"/>
    </w:pPr>
    <w:rPr>
      <w:kern w:val="0"/>
      <w:sz w:val="18"/>
      <w:szCs w:val="18"/>
    </w:rPr>
  </w:style>
  <w:style w:type="paragraph" w:styleId="19">
    <w:name w:val="toc 1"/>
    <w:basedOn w:val="1"/>
    <w:next w:val="1"/>
    <w:semiHidden/>
    <w:unhideWhenUsed/>
    <w:qFormat/>
    <w:locked/>
    <w:uiPriority w:val="39"/>
    <w:pPr>
      <w:widowControl/>
      <w:spacing w:after="100" w:line="276" w:lineRule="auto"/>
      <w:jc w:val="left"/>
    </w:pPr>
    <w:rPr>
      <w:rFonts w:asciiTheme="minorHAnsi" w:hAnsiTheme="minorHAnsi" w:eastAsiaTheme="minorEastAsia" w:cstheme="minorBidi"/>
      <w:kern w:val="0"/>
      <w:sz w:val="22"/>
      <w:szCs w:val="22"/>
    </w:rPr>
  </w:style>
  <w:style w:type="paragraph" w:styleId="20">
    <w:name w:val="Subtitle"/>
    <w:basedOn w:val="1"/>
    <w:next w:val="1"/>
    <w:qFormat/>
    <w:locked/>
    <w:uiPriority w:val="11"/>
    <w:pPr>
      <w:spacing w:before="240" w:after="60" w:line="312" w:lineRule="auto"/>
      <w:jc w:val="center"/>
      <w:outlineLvl w:val="1"/>
    </w:pPr>
    <w:rPr>
      <w:rFonts w:ascii="Calibri" w:hAnsi="Calibri"/>
      <w:b/>
      <w:bCs/>
      <w:kern w:val="28"/>
      <w:sz w:val="32"/>
      <w:szCs w:val="32"/>
    </w:rPr>
  </w:style>
  <w:style w:type="paragraph" w:styleId="21">
    <w:name w:val="toc 2"/>
    <w:basedOn w:val="1"/>
    <w:next w:val="1"/>
    <w:semiHidden/>
    <w:unhideWhenUsed/>
    <w:qFormat/>
    <w:locked/>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22">
    <w:name w:val="Normal (Web)"/>
    <w:basedOn w:val="1"/>
    <w:qFormat/>
    <w:uiPriority w:val="0"/>
    <w:pPr>
      <w:widowControl/>
      <w:spacing w:before="100" w:beforeAutospacing="1" w:after="100" w:afterAutospacing="1" w:line="312" w:lineRule="auto"/>
      <w:jc w:val="left"/>
    </w:pPr>
    <w:rPr>
      <w:rFonts w:ascii="宋体" w:hAnsi="宋体" w:cs="宋体"/>
      <w:color w:val="000000"/>
      <w:kern w:val="0"/>
      <w:sz w:val="18"/>
      <w:szCs w:val="18"/>
    </w:rPr>
  </w:style>
  <w:style w:type="paragraph" w:styleId="23">
    <w:name w:val="annotation subject"/>
    <w:basedOn w:val="12"/>
    <w:next w:val="12"/>
    <w:link w:val="58"/>
    <w:semiHidden/>
    <w:unhideWhenUsed/>
    <w:qFormat/>
    <w:uiPriority w:val="0"/>
    <w:rPr>
      <w:b/>
      <w:bCs/>
    </w:rPr>
  </w:style>
  <w:style w:type="table" w:styleId="25">
    <w:name w:val="Table Grid"/>
    <w:basedOn w:val="2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qFormat/>
    <w:uiPriority w:val="99"/>
    <w:rPr>
      <w:b/>
      <w:bCs/>
    </w:rPr>
  </w:style>
  <w:style w:type="character" w:styleId="28">
    <w:name w:val="Hyperlink"/>
    <w:semiHidden/>
    <w:qFormat/>
    <w:uiPriority w:val="99"/>
    <w:rPr>
      <w:color w:val="0000FF"/>
      <w:u w:val="single"/>
    </w:rPr>
  </w:style>
  <w:style w:type="character" w:styleId="29">
    <w:name w:val="annotation reference"/>
    <w:semiHidden/>
    <w:unhideWhenUsed/>
    <w:qFormat/>
    <w:uiPriority w:val="0"/>
    <w:rPr>
      <w:sz w:val="21"/>
      <w:szCs w:val="21"/>
    </w:rPr>
  </w:style>
  <w:style w:type="character" w:customStyle="1" w:styleId="30">
    <w:name w:val="标题 1 字符"/>
    <w:link w:val="2"/>
    <w:qFormat/>
    <w:locked/>
    <w:uiPriority w:val="99"/>
    <w:rPr>
      <w:rFonts w:ascii="Arial" w:hAnsi="Arial" w:eastAsia="黑体" w:cs="Arial"/>
      <w:b/>
      <w:bCs/>
      <w:sz w:val="32"/>
      <w:szCs w:val="32"/>
    </w:rPr>
  </w:style>
  <w:style w:type="character" w:customStyle="1" w:styleId="31">
    <w:name w:val="标题 2 字符"/>
    <w:link w:val="3"/>
    <w:qFormat/>
    <w:locked/>
    <w:uiPriority w:val="99"/>
    <w:rPr>
      <w:rFonts w:ascii="Arial" w:hAnsi="Arial" w:eastAsia="黑体" w:cs="Arial"/>
      <w:sz w:val="24"/>
      <w:szCs w:val="24"/>
    </w:rPr>
  </w:style>
  <w:style w:type="character" w:customStyle="1" w:styleId="32">
    <w:name w:val="标题 3 字符"/>
    <w:link w:val="4"/>
    <w:qFormat/>
    <w:locked/>
    <w:uiPriority w:val="99"/>
    <w:rPr>
      <w:rFonts w:ascii="Arial" w:hAnsi="Arial" w:cs="Arial"/>
      <w:kern w:val="2"/>
      <w:sz w:val="24"/>
      <w:szCs w:val="24"/>
    </w:rPr>
  </w:style>
  <w:style w:type="character" w:customStyle="1" w:styleId="33">
    <w:name w:val="标题 4 字符"/>
    <w:link w:val="5"/>
    <w:qFormat/>
    <w:locked/>
    <w:uiPriority w:val="99"/>
    <w:rPr>
      <w:rFonts w:ascii="黑体" w:hAnsi="Arial" w:eastAsia="黑体" w:cs="黑体"/>
      <w:color w:val="000000"/>
      <w:kern w:val="0"/>
      <w:sz w:val="28"/>
      <w:szCs w:val="28"/>
    </w:rPr>
  </w:style>
  <w:style w:type="character" w:customStyle="1" w:styleId="34">
    <w:name w:val="标题 5 字符"/>
    <w:link w:val="6"/>
    <w:semiHidden/>
    <w:qFormat/>
    <w:locked/>
    <w:uiPriority w:val="99"/>
    <w:rPr>
      <w:rFonts w:ascii="Times New Roman" w:hAnsi="Times New Roman" w:eastAsia="宋体" w:cs="Times New Roman"/>
      <w:b/>
      <w:bCs/>
      <w:sz w:val="28"/>
      <w:szCs w:val="28"/>
    </w:rPr>
  </w:style>
  <w:style w:type="character" w:customStyle="1" w:styleId="35">
    <w:name w:val="文档结构图 字符"/>
    <w:link w:val="11"/>
    <w:semiHidden/>
    <w:qFormat/>
    <w:locked/>
    <w:uiPriority w:val="99"/>
    <w:rPr>
      <w:rFonts w:ascii="宋体" w:hAnsi="Times New Roman" w:eastAsia="宋体" w:cs="宋体"/>
      <w:sz w:val="18"/>
      <w:szCs w:val="18"/>
    </w:rPr>
  </w:style>
  <w:style w:type="character" w:customStyle="1" w:styleId="36">
    <w:name w:val="正文文本 3 字符"/>
    <w:link w:val="13"/>
    <w:qFormat/>
    <w:locked/>
    <w:uiPriority w:val="99"/>
    <w:rPr>
      <w:rFonts w:ascii="Times New Roman" w:hAnsi="Times New Roman" w:eastAsia="宋体" w:cs="Times New Roman"/>
      <w:sz w:val="16"/>
      <w:szCs w:val="16"/>
    </w:rPr>
  </w:style>
  <w:style w:type="character" w:customStyle="1" w:styleId="37">
    <w:name w:val="批注框文本 字符"/>
    <w:link w:val="16"/>
    <w:semiHidden/>
    <w:qFormat/>
    <w:locked/>
    <w:uiPriority w:val="99"/>
    <w:rPr>
      <w:rFonts w:ascii="Times New Roman" w:hAnsi="Times New Roman" w:eastAsia="宋体" w:cs="Times New Roman"/>
      <w:sz w:val="18"/>
      <w:szCs w:val="18"/>
    </w:rPr>
  </w:style>
  <w:style w:type="character" w:customStyle="1" w:styleId="38">
    <w:name w:val="页脚 字符"/>
    <w:link w:val="17"/>
    <w:qFormat/>
    <w:locked/>
    <w:uiPriority w:val="99"/>
    <w:rPr>
      <w:rFonts w:ascii="Times New Roman" w:hAnsi="Times New Roman" w:eastAsia="宋体" w:cs="Times New Roman"/>
      <w:sz w:val="18"/>
      <w:szCs w:val="18"/>
    </w:rPr>
  </w:style>
  <w:style w:type="character" w:customStyle="1" w:styleId="39">
    <w:name w:val="页眉 字符"/>
    <w:link w:val="18"/>
    <w:qFormat/>
    <w:locked/>
    <w:uiPriority w:val="99"/>
    <w:rPr>
      <w:rFonts w:ascii="Times New Roman" w:hAnsi="Times New Roman" w:eastAsia="宋体" w:cs="Times New Roman"/>
      <w:sz w:val="18"/>
      <w:szCs w:val="18"/>
    </w:rPr>
  </w:style>
  <w:style w:type="paragraph" w:customStyle="1" w:styleId="40">
    <w:name w:val="列出段落1"/>
    <w:basedOn w:val="1"/>
    <w:link w:val="41"/>
    <w:qFormat/>
    <w:uiPriority w:val="34"/>
    <w:pPr>
      <w:ind w:firstLine="420" w:firstLineChars="200"/>
    </w:pPr>
    <w:rPr>
      <w:rFonts w:ascii="Calibri" w:hAnsi="Calibri"/>
      <w:kern w:val="0"/>
      <w:sz w:val="20"/>
      <w:szCs w:val="20"/>
    </w:rPr>
  </w:style>
  <w:style w:type="character" w:customStyle="1" w:styleId="41">
    <w:name w:val="列出段落 Char"/>
    <w:link w:val="40"/>
    <w:qFormat/>
    <w:locked/>
    <w:uiPriority w:val="34"/>
    <w:rPr>
      <w:rFonts w:ascii="Calibri" w:hAnsi="Calibri" w:eastAsia="宋体" w:cs="Calibri"/>
    </w:rPr>
  </w:style>
  <w:style w:type="paragraph" w:customStyle="1" w:styleId="42">
    <w:name w:val="Appendix heading 4"/>
    <w:basedOn w:val="5"/>
    <w:qFormat/>
    <w:uiPriority w:val="99"/>
    <w:pPr>
      <w:numPr>
        <w:ilvl w:val="3"/>
        <w:numId w:val="1"/>
      </w:numPr>
      <w:tabs>
        <w:tab w:val="left" w:pos="1554"/>
        <w:tab w:val="left" w:pos="5747"/>
      </w:tabs>
      <w:adjustRightInd w:val="0"/>
      <w:snapToGrid w:val="0"/>
      <w:spacing w:line="240" w:lineRule="atLeast"/>
      <w:ind w:left="1554" w:hanging="420"/>
    </w:pPr>
    <w:rPr>
      <w:rFonts w:ascii="Book Antiqua" w:hAnsi="Book Antiqua" w:cs="Book Antiqua"/>
    </w:rPr>
  </w:style>
  <w:style w:type="paragraph" w:customStyle="1" w:styleId="43">
    <w:name w:val="Appendix heading 5"/>
    <w:basedOn w:val="6"/>
    <w:next w:val="1"/>
    <w:qFormat/>
    <w:uiPriority w:val="99"/>
    <w:pPr>
      <w:widowControl/>
      <w:numPr>
        <w:ilvl w:val="4"/>
        <w:numId w:val="1"/>
      </w:numPr>
      <w:tabs>
        <w:tab w:val="left" w:pos="1644"/>
        <w:tab w:val="left" w:pos="5747"/>
      </w:tabs>
      <w:adjustRightInd w:val="0"/>
      <w:snapToGrid w:val="0"/>
      <w:spacing w:before="160" w:after="160" w:line="240" w:lineRule="atLeast"/>
      <w:ind w:left="1644" w:hanging="510"/>
      <w:jc w:val="left"/>
    </w:pPr>
    <w:rPr>
      <w:rFonts w:ascii="Book Antiqua" w:hAnsi="Book Antiqua" w:eastAsia="黑体" w:cs="Book Antiqua"/>
      <w:b w:val="0"/>
      <w:bCs w:val="0"/>
      <w:sz w:val="24"/>
      <w:szCs w:val="24"/>
    </w:rPr>
  </w:style>
  <w:style w:type="paragraph" w:customStyle="1" w:styleId="44">
    <w:name w:val="一级列表"/>
    <w:basedOn w:val="1"/>
    <w:qFormat/>
    <w:uiPriority w:val="99"/>
    <w:pPr>
      <w:numPr>
        <w:ilvl w:val="0"/>
        <w:numId w:val="3"/>
      </w:numPr>
      <w:spacing w:line="360" w:lineRule="auto"/>
    </w:pPr>
    <w:rPr>
      <w:sz w:val="24"/>
      <w:szCs w:val="24"/>
    </w:rPr>
  </w:style>
  <w:style w:type="paragraph" w:customStyle="1" w:styleId="45">
    <w:name w:val="Item List"/>
    <w:qFormat/>
    <w:uiPriority w:val="99"/>
    <w:pPr>
      <w:numPr>
        <w:ilvl w:val="0"/>
        <w:numId w:val="4"/>
      </w:numPr>
      <w:adjustRightInd w:val="0"/>
      <w:snapToGrid w:val="0"/>
      <w:spacing w:before="80" w:after="80" w:line="240" w:lineRule="atLeast"/>
    </w:pPr>
    <w:rPr>
      <w:rFonts w:ascii="Times New Roman" w:hAnsi="Times New Roman" w:eastAsia="宋体" w:cs="Times New Roman"/>
      <w:lang w:val="en-US" w:eastAsia="zh-CN" w:bidi="ar-SA"/>
    </w:rPr>
  </w:style>
  <w:style w:type="paragraph" w:styleId="46">
    <w:name w:val="List Paragraph"/>
    <w:basedOn w:val="1"/>
    <w:qFormat/>
    <w:uiPriority w:val="34"/>
    <w:pPr>
      <w:ind w:firstLine="420" w:firstLineChars="200"/>
    </w:pPr>
    <w:rPr>
      <w:rFonts w:ascii="Calibri" w:hAnsi="Calibri" w:cs="Calibri"/>
    </w:rPr>
  </w:style>
  <w:style w:type="character" w:customStyle="1" w:styleId="47">
    <w:name w:val="样式 宋体 小四"/>
    <w:qFormat/>
    <w:uiPriority w:val="99"/>
    <w:rPr>
      <w:rFonts w:ascii="宋体" w:hAnsi="宋体" w:eastAsia="楷体_GB2312" w:cs="宋体"/>
      <w:sz w:val="24"/>
      <w:szCs w:val="24"/>
    </w:rPr>
  </w:style>
  <w:style w:type="character" w:customStyle="1" w:styleId="48">
    <w:name w:val="日期 字符"/>
    <w:link w:val="15"/>
    <w:semiHidden/>
    <w:qFormat/>
    <w:locked/>
    <w:uiPriority w:val="99"/>
    <w:rPr>
      <w:kern w:val="2"/>
      <w:sz w:val="24"/>
      <w:szCs w:val="24"/>
    </w:rPr>
  </w:style>
  <w:style w:type="character" w:customStyle="1" w:styleId="49">
    <w:name w:val="标题 6 字符"/>
    <w:link w:val="7"/>
    <w:qFormat/>
    <w:uiPriority w:val="9"/>
    <w:rPr>
      <w:rFonts w:ascii="Cambria" w:hAnsi="Cambria" w:eastAsia="宋体" w:cs="Times New Roman"/>
      <w:b/>
      <w:bCs/>
      <w:kern w:val="2"/>
      <w:sz w:val="24"/>
      <w:szCs w:val="24"/>
    </w:rPr>
  </w:style>
  <w:style w:type="character" w:customStyle="1" w:styleId="50">
    <w:name w:val="font01"/>
    <w:qFormat/>
    <w:uiPriority w:val="0"/>
    <w:rPr>
      <w:rFonts w:hint="eastAsia" w:ascii="宋体" w:hAnsi="宋体" w:eastAsia="宋体" w:cs="宋体"/>
      <w:color w:val="000000"/>
      <w:sz w:val="21"/>
      <w:szCs w:val="21"/>
      <w:u w:val="none"/>
    </w:rPr>
  </w:style>
  <w:style w:type="character" w:customStyle="1" w:styleId="51">
    <w:name w:val="font31"/>
    <w:qFormat/>
    <w:uiPriority w:val="0"/>
    <w:rPr>
      <w:rFonts w:hint="default" w:ascii="Times New Roman" w:hAnsi="Times New Roman" w:cs="Times New Roman"/>
      <w:color w:val="000000"/>
      <w:sz w:val="21"/>
      <w:szCs w:val="21"/>
      <w:u w:val="none"/>
    </w:rPr>
  </w:style>
  <w:style w:type="character" w:customStyle="1" w:styleId="52">
    <w:name w:val="font51"/>
    <w:qFormat/>
    <w:uiPriority w:val="0"/>
    <w:rPr>
      <w:rFonts w:hint="eastAsia" w:ascii="宋体" w:hAnsi="宋体" w:eastAsia="宋体" w:cs="宋体"/>
      <w:color w:val="000000"/>
      <w:sz w:val="18"/>
      <w:szCs w:val="18"/>
      <w:u w:val="none"/>
    </w:rPr>
  </w:style>
  <w:style w:type="character" w:customStyle="1" w:styleId="53">
    <w:name w:val="font61"/>
    <w:qFormat/>
    <w:uiPriority w:val="0"/>
    <w:rPr>
      <w:rFonts w:hint="eastAsia" w:ascii="宋体" w:hAnsi="宋体" w:eastAsia="宋体" w:cs="宋体"/>
      <w:b/>
      <w:color w:val="000000"/>
      <w:sz w:val="18"/>
      <w:szCs w:val="18"/>
      <w:u w:val="none"/>
    </w:rPr>
  </w:style>
  <w:style w:type="character" w:customStyle="1" w:styleId="54">
    <w:name w:val="font11"/>
    <w:qFormat/>
    <w:uiPriority w:val="0"/>
    <w:rPr>
      <w:rFonts w:ascii="微软雅黑" w:hAnsi="微软雅黑" w:eastAsia="微软雅黑" w:cs="微软雅黑"/>
      <w:b/>
      <w:color w:val="000000"/>
      <w:sz w:val="18"/>
      <w:szCs w:val="18"/>
      <w:u w:val="none"/>
    </w:rPr>
  </w:style>
  <w:style w:type="character" w:customStyle="1" w:styleId="55">
    <w:name w:val="font21"/>
    <w:qFormat/>
    <w:uiPriority w:val="0"/>
    <w:rPr>
      <w:rFonts w:hint="eastAsia" w:ascii="微软雅黑" w:hAnsi="微软雅黑" w:eastAsia="微软雅黑" w:cs="微软雅黑"/>
      <w:color w:val="000000"/>
      <w:sz w:val="18"/>
      <w:szCs w:val="18"/>
      <w:u w:val="none"/>
    </w:rPr>
  </w:style>
  <w:style w:type="paragraph" w:customStyle="1" w:styleId="56">
    <w:name w:val="表格正文"/>
    <w:basedOn w:val="1"/>
    <w:qFormat/>
    <w:uiPriority w:val="0"/>
    <w:pPr>
      <w:spacing w:line="360" w:lineRule="atLeast"/>
      <w:textAlignment w:val="baseline"/>
    </w:pPr>
    <w:rPr>
      <w:szCs w:val="24"/>
    </w:rPr>
  </w:style>
  <w:style w:type="character" w:customStyle="1" w:styleId="57">
    <w:name w:val="批注文字 字符"/>
    <w:link w:val="12"/>
    <w:semiHidden/>
    <w:qFormat/>
    <w:uiPriority w:val="0"/>
    <w:rPr>
      <w:kern w:val="2"/>
      <w:sz w:val="21"/>
      <w:szCs w:val="21"/>
    </w:rPr>
  </w:style>
  <w:style w:type="character" w:customStyle="1" w:styleId="58">
    <w:name w:val="批注主题 字符"/>
    <w:link w:val="23"/>
    <w:semiHidden/>
    <w:qFormat/>
    <w:uiPriority w:val="0"/>
    <w:rPr>
      <w:b/>
      <w:bCs/>
      <w:kern w:val="2"/>
      <w:sz w:val="21"/>
      <w:szCs w:val="21"/>
    </w:rPr>
  </w:style>
  <w:style w:type="paragraph" w:customStyle="1" w:styleId="59">
    <w:name w:val="TOC 标题1"/>
    <w:basedOn w:val="2"/>
    <w:next w:val="1"/>
    <w:semiHidden/>
    <w:unhideWhenUsed/>
    <w:qFormat/>
    <w:uiPriority w:val="39"/>
    <w:pPr>
      <w:keepLines/>
      <w:spacing w:before="480" w:after="0" w:line="276" w:lineRule="auto"/>
      <w:jc w:val="left"/>
      <w:outlineLvl w:val="9"/>
    </w:pPr>
    <w:rPr>
      <w:rFonts w:asciiTheme="majorHAnsi" w:hAnsiTheme="majorHAnsi" w:eastAsiaTheme="majorEastAsia" w:cstheme="majorBidi"/>
      <w:color w:val="376092" w:themeColor="accent1" w:themeShade="BF"/>
      <w:sz w:val="28"/>
      <w:szCs w:val="28"/>
    </w:rPr>
  </w:style>
  <w:style w:type="paragraph" w:customStyle="1" w:styleId="60">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BD6A85-A337-4330-B253-792C5BAC270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1237</Words>
  <Characters>7055</Characters>
  <Lines>58</Lines>
  <Paragraphs>16</Paragraphs>
  <TotalTime>33</TotalTime>
  <ScaleCrop>false</ScaleCrop>
  <LinksUpToDate>false</LinksUpToDate>
  <CharactersWithSpaces>8276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2021-03-22T03:56:00Z</dcterms:created>
  <dc:creator>duxuenan</dc:creator>
  <cp:lastModifiedBy>Administrator</cp:lastModifiedBy>
  <dcterms:modified xsi:type="dcterms:W3CDTF">2021-07-07T02:10:39Z</dcterms:modified>
  <dc:title>大连外国语大学校园监控技术要求</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(3)JoN413OeDNvcr4PKhb4UJg72/GVZVW/z5M+TY7sIdkptenHOjTgXhyH8i3LVR2k8xCoAaP8/_x000d_SAY5zInNQNMPYuFa9EQ/Qrox9MufdVSK6syETuLBN4kxI4oHm/IMBAvYt+6ucE2hSc3mQFdy_x000d_tpK31k2+hwxmIIevBkfDh9RK6lk7bEVdzyaJCl1l+0dYVoMAqOPZ/1AEd3TdA+OIcZFFvkp9_x000d_L58lik9ibavO2mtiK6</vt:lpwstr>
  </property>
  <property fmtid="{D5CDD505-2E9C-101B-9397-08002B2CF9AE}" pid="3" name="_new_ms_pID_725431">
    <vt:lpwstr>k0lXpZKBtLQSIERYBtUo+LQJf2QeQxjusoRj2pfST/nuSLf53VCbwi_x000d_8mv5t19jgHjHUudOCEx4+zhlX/hraOi9KcR3OQtLY5D4dbPyFKqC+DD3v67OKDtEZQTpdYmW_x000d_s77QMQeOfkcn0j+ooyB5JwVnd3ZrVWfkeO/XsnoP9TrW7RJXeTUvXjiiR6EdA5RQEvvKwk8d_x000d_6h5lK+3hGexH4umHQ1ICPJ59sqKrSO/wsnJ4</vt:lpwstr>
  </property>
  <property fmtid="{D5CDD505-2E9C-101B-9397-08002B2CF9AE}" pid="4" name="_new_ms_pID_725432">
    <vt:lpwstr>vqKymu8FmBwqMD5fxj/z9JhWAqJJqgugB5BB_x000d_U6Xisspd+WEzgq19hWOkw3bg1pLLWD4lwzCqbWuTtBGRF2irQN7jDbFCvV+lg4C1CuuA8Kg5_x000d_+l2cGpsI70+GZcpsnjwcKrbH34ECTmBh1DVB5OhQG0OvX51KLwZGjKfTgRy4s7k2</vt:lpwstr>
  </property>
  <property fmtid="{D5CDD505-2E9C-101B-9397-08002B2CF9AE}" pid="5" name="sflag">
    <vt:lpwstr>1402552764</vt:lpwstr>
  </property>
  <property fmtid="{D5CDD505-2E9C-101B-9397-08002B2CF9AE}" pid="6" name="KSOProductBuildVer">
    <vt:lpwstr>2052-11.1.0.10314</vt:lpwstr>
  </property>
  <property fmtid="{D5CDD505-2E9C-101B-9397-08002B2CF9AE}" pid="7" name="ICV">
    <vt:lpwstr>17B332759D2A42D19C77DA4D34581422</vt:lpwstr>
  </property>
</Properties>
</file>