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tabs>
          <w:tab w:val="left" w:leader="none" w:pos="3179"/>
          <w:tab w:val="left" w:leader="none" w:pos="6244"/>
        </w:tabs>
        <w:spacing w:before="39" w:lineRule="auto" w:line="189"/>
        <w:ind w:right="644"/>
        <w:jc w:val="left"/>
        <w:rPr>
          <w:rFonts w:hint="eastAsia"/>
          <w:color w:val="ff0000"/>
          <w:sz w:val="64"/>
          <w:lang w:val="en-US" w:eastAsia="zh-CN"/>
        </w:rPr>
      </w:pPr>
      <w:r>
        <w:rPr>
          <w:sz w:val="64"/>
        </w:rPr>
        <w:pict>
          <v:shapetype id="_x0000_t202" coordsize="21600,21600" o:spt="202" path="m,l,21600r21600,l21600,xe">
            <v:stroke joinstyle="miter"/>
            <v:path gradientshapeok="t" o:connecttype="rect"/>
          </v:shapetype>
          <v:shape id="1026" type="#_x0000_t202" filled="f" stroked="f" style="position:absolute;margin-left:340.5pt;margin-top:3.6pt;width:105.75pt;height:43.5pt;z-index:2;mso-position-horizontal-relative:text;mso-position-vertical-relative:text;mso-width-relative:page;mso-height-relative:page;mso-wrap-distance-left:0.0pt;mso-wrap-distance-right:0.0pt;visibility:visible;">
            <v:stroke on="f"/>
            <v:fill/>
            <v:textbox>
              <w:txbxContent>
                <w:p>
                  <w:pPr>
                    <w:pStyle w:val="style0"/>
                    <w:rPr/>
                  </w:pPr>
                  <w:r>
                    <w:rPr>
                      <w:color w:val="ff0000"/>
                      <w:sz w:val="64"/>
                    </w:rPr>
                    <w:t>文 件</w:t>
                  </w:r>
                </w:p>
              </w:txbxContent>
            </v:textbox>
          </v:shape>
        </w:pict>
      </w:r>
      <w:r>
        <w:rPr>
          <w:color w:val="ff0000"/>
          <w:sz w:val="64"/>
        </w:rPr>
        <w:t>教</w:t>
      </w:r>
      <w:r>
        <w:rPr>
          <w:rFonts w:hint="eastAsia"/>
          <w:color w:val="ff0000"/>
          <w:sz w:val="64"/>
          <w:lang w:val="en-US" w:eastAsia="zh-CN"/>
        </w:rPr>
        <w:t xml:space="preserve">       </w:t>
      </w:r>
      <w:r>
        <w:rPr>
          <w:color w:val="ff0000"/>
          <w:sz w:val="64"/>
        </w:rPr>
        <w:t>育</w:t>
      </w:r>
      <w:r>
        <w:rPr>
          <w:rFonts w:hint="eastAsia"/>
          <w:color w:val="ff0000"/>
          <w:sz w:val="64"/>
          <w:lang w:val="en-US" w:eastAsia="zh-CN"/>
        </w:rPr>
        <w:t xml:space="preserve">        </w:t>
      </w:r>
      <w:r>
        <w:rPr>
          <w:color w:val="ff0000"/>
          <w:sz w:val="64"/>
        </w:rPr>
        <w:t>部</w:t>
      </w:r>
    </w:p>
    <w:p>
      <w:pPr>
        <w:pStyle w:val="style0"/>
        <w:tabs>
          <w:tab w:val="left" w:leader="none" w:pos="3179"/>
          <w:tab w:val="left" w:leader="none" w:pos="6244"/>
        </w:tabs>
        <w:spacing w:before="39" w:lineRule="auto" w:line="189"/>
        <w:ind w:right="644"/>
        <w:jc w:val="left"/>
        <w:rPr>
          <w:sz w:val="64"/>
        </w:rPr>
      </w:pPr>
      <w:r>
        <w:rPr>
          <w:color w:val="ff0000"/>
          <w:spacing w:val="127"/>
          <w:sz w:val="64"/>
        </w:rPr>
        <w:t>中</w:t>
      </w:r>
      <w:r>
        <w:rPr>
          <w:color w:val="ff0000"/>
          <w:spacing w:val="124"/>
          <w:sz w:val="64"/>
        </w:rPr>
        <w:t>央军</w:t>
      </w:r>
      <w:r>
        <w:rPr>
          <w:color w:val="ff0000"/>
          <w:spacing w:val="127"/>
          <w:sz w:val="64"/>
        </w:rPr>
        <w:t>委</w:t>
      </w:r>
      <w:r>
        <w:rPr>
          <w:color w:val="ff0000"/>
          <w:spacing w:val="124"/>
          <w:sz w:val="64"/>
        </w:rPr>
        <w:t>国防</w:t>
      </w:r>
      <w:r>
        <w:rPr>
          <w:color w:val="ff0000"/>
          <w:spacing w:val="127"/>
          <w:sz w:val="64"/>
        </w:rPr>
        <w:t>动</w:t>
      </w:r>
      <w:r>
        <w:rPr>
          <w:color w:val="ff0000"/>
          <w:spacing w:val="124"/>
          <w:sz w:val="64"/>
        </w:rPr>
        <w:t>员</w:t>
      </w:r>
      <w:r>
        <w:rPr>
          <w:color w:val="ff0000"/>
          <w:sz w:val="64"/>
        </w:rPr>
        <w:t>部</w:t>
      </w:r>
    </w:p>
    <w:p>
      <w:pPr>
        <w:pStyle w:val="style66"/>
        <w:jc w:val="left"/>
        <w:rPr>
          <w:sz w:val="20"/>
        </w:rPr>
      </w:pPr>
    </w:p>
    <w:p>
      <w:pPr>
        <w:pStyle w:val="style0"/>
        <w:spacing w:before="201"/>
        <w:ind w:left="2754" w:right="0" w:firstLine="0"/>
        <w:jc w:val="left"/>
        <w:rPr>
          <w:sz w:val="30"/>
        </w:rPr>
      </w:pPr>
      <w:r>
        <w:rPr>
          <w:spacing w:val="-12"/>
          <w:sz w:val="30"/>
        </w:rPr>
        <w:t>教体艺 〔</w:t>
      </w:r>
      <w:r>
        <w:rPr>
          <w:sz w:val="30"/>
        </w:rPr>
        <w:t>2019</w:t>
      </w:r>
      <w:r>
        <w:rPr>
          <w:spacing w:val="-53"/>
          <w:sz w:val="30"/>
        </w:rPr>
        <w:t>〕</w:t>
      </w:r>
      <w:r>
        <w:rPr>
          <w:sz w:val="30"/>
        </w:rPr>
        <w:t>1</w:t>
      </w:r>
      <w:r>
        <w:rPr>
          <w:spacing w:val="-39"/>
          <w:sz w:val="30"/>
        </w:rPr>
        <w:t xml:space="preserve"> 号</w:t>
      </w:r>
    </w:p>
    <w:p>
      <w:pPr>
        <w:pStyle w:val="style66"/>
        <w:rPr>
          <w:sz w:val="20"/>
        </w:rPr>
      </w:pPr>
    </w:p>
    <w:p>
      <w:pPr>
        <w:pStyle w:val="style66"/>
        <w:spacing w:before="11"/>
        <w:rPr>
          <w:sz w:val="14"/>
        </w:rPr>
      </w:pPr>
    </w:p>
    <w:p>
      <w:pPr>
        <w:pStyle w:val="style66"/>
        <w:spacing w:lineRule="exact" w:line="48"/>
        <w:ind w:left="-334"/>
        <w:rPr>
          <w:sz w:val="4"/>
        </w:rPr>
      </w:pPr>
      <w:r>
        <w:rPr>
          <w:position w:val="0"/>
          <w:sz w:val="4"/>
        </w:rPr>
      </w:r>
      <w:r>
        <w:rPr>
          <w:position w:val="0"/>
          <w:sz w:val="4"/>
        </w:rPr>
      </w:r>
      <w:r>
        <w:rPr>
          <w:position w:val="0"/>
          <w:sz w:val="4"/>
        </w:rPr>
      </w:r>
      <w:r>
        <w:rPr>
          <w:position w:val="0"/>
          <w:sz w:val="4"/>
        </w:rPr>
        <w:pict>
          <v:group id="1027" filled="f" stroked="f" style="margin-left:0.0pt;margin-top:0.0pt;width:464.9pt;height:2.4pt;mso-wrap-distance-left:0.0pt;mso-wrap-distance-right:0.0pt;visibility:visible;" coordsize="9298,48">
            <v:line id="1028" stroked="t" from="0.0pt,0.0pt" to="1387.7999pt,0.3pt" style="position:absolute;z-index:3;mso-position-horizontal-relative:text;mso-position-vertical-relative:text;mso-width-relative:page;mso-height-relative:page;visibility:visible;">
              <v:stroke color="red" weight="2.28pt"/>
              <v:fill/>
              <v:path arrowok="t"/>
            </v:line>
            <w10:anchorlock/>
            <v:fill rotate="true"/>
          </v:group>
        </w:pict>
      </w:r>
      <w:r>
        <w:rPr>
          <w:position w:val="0"/>
          <w:sz w:val="4"/>
        </w:rPr>
      </w:r>
      <w:r>
        <w:rPr>
          <w:position w:val="0"/>
          <w:sz w:val="4"/>
        </w:rPr>
      </w:r>
    </w:p>
    <w:p>
      <w:pPr>
        <w:pStyle w:val="style66"/>
        <w:rPr>
          <w:sz w:val="20"/>
        </w:rPr>
      </w:pPr>
    </w:p>
    <w:p>
      <w:pPr>
        <w:pStyle w:val="style66"/>
        <w:rPr>
          <w:sz w:val="20"/>
        </w:rPr>
      </w:pPr>
    </w:p>
    <w:p>
      <w:pPr>
        <w:pStyle w:val="style66"/>
        <w:rPr>
          <w:sz w:val="20"/>
        </w:rPr>
      </w:pPr>
    </w:p>
    <w:p>
      <w:pPr>
        <w:pStyle w:val="style66"/>
        <w:spacing w:before="8"/>
        <w:rPr>
          <w:sz w:val="19"/>
        </w:rPr>
      </w:pPr>
    </w:p>
    <w:p>
      <w:pPr>
        <w:pStyle w:val="style1"/>
        <w:tabs>
          <w:tab w:val="left" w:leader="none" w:pos="1442"/>
        </w:tabs>
        <w:spacing w:before="47"/>
        <w:rPr/>
      </w:pPr>
      <w:r>
        <w:t>教育部</w:t>
      </w:r>
      <w:r>
        <w:tab/>
      </w:r>
      <w:r>
        <w:t>中</w:t>
      </w:r>
      <w:r>
        <w:rPr>
          <w:spacing w:val="-3"/>
        </w:rPr>
        <w:t>央</w:t>
      </w:r>
      <w:r>
        <w:t>军委国防动员部关于印发</w:t>
      </w:r>
    </w:p>
    <w:p>
      <w:pPr>
        <w:pStyle w:val="style0"/>
        <w:spacing w:before="162"/>
        <w:ind w:left="0" w:right="515" w:firstLine="0"/>
        <w:jc w:val="center"/>
        <w:rPr>
          <w:sz w:val="36"/>
        </w:rPr>
      </w:pPr>
      <w:r>
        <w:rPr>
          <w:sz w:val="36"/>
        </w:rPr>
        <w:t>《普通高等学校军事课教学大纲》的通知</w:t>
      </w:r>
    </w:p>
    <w:p>
      <w:pPr>
        <w:pStyle w:val="style66"/>
        <w:rPr>
          <w:sz w:val="36"/>
        </w:rPr>
      </w:pPr>
    </w:p>
    <w:p>
      <w:pPr>
        <w:pStyle w:val="style66"/>
        <w:spacing w:before="5"/>
        <w:rPr>
          <w:sz w:val="39"/>
        </w:rPr>
      </w:pPr>
    </w:p>
    <w:p>
      <w:pPr>
        <w:pStyle w:val="style66"/>
        <w:spacing w:lineRule="auto" w:line="410"/>
        <w:ind w:left="359" w:right="867"/>
        <w:jc w:val="both"/>
        <w:rPr/>
      </w:pPr>
      <w:r>
        <w:rPr>
          <w:spacing w:val="6"/>
          <w:w w:val="99"/>
        </w:rPr>
        <w:t>各省、自治区、直辖市教育厅</w:t>
      </w:r>
      <w:r>
        <w:rPr>
          <w:spacing w:val="4"/>
          <w:w w:val="99"/>
        </w:rPr>
        <w:t>（</w:t>
      </w:r>
      <w:r>
        <w:rPr>
          <w:spacing w:val="7"/>
          <w:w w:val="99"/>
        </w:rPr>
        <w:t>教委</w:t>
      </w:r>
      <w:r>
        <w:rPr>
          <w:spacing w:val="-154"/>
          <w:w w:val="99"/>
        </w:rPr>
        <w:t>）</w:t>
      </w:r>
      <w:r>
        <w:rPr>
          <w:spacing w:val="5"/>
          <w:w w:val="99"/>
        </w:rPr>
        <w:t>，新疆生产建设兵团</w:t>
      </w:r>
      <w:r>
        <w:rPr>
          <w:spacing w:val="5"/>
        </w:rPr>
        <w:t>教育局，各军兵种、武警部队参谋部，各省军区（</w:t>
      </w:r>
      <w:r>
        <w:t>卫戍区、</w:t>
      </w:r>
      <w:r>
        <w:rPr>
          <w:spacing w:val="1"/>
          <w:w w:val="99"/>
        </w:rPr>
        <w:t>警备区</w:t>
      </w:r>
      <w:r>
        <w:rPr>
          <w:spacing w:val="-161"/>
          <w:w w:val="99"/>
        </w:rPr>
        <w:t>）</w:t>
      </w:r>
      <w:r>
        <w:rPr>
          <w:w w:val="99"/>
        </w:rPr>
        <w:t>，教育部直属各高等学校、部省合建各高等学校：</w:t>
      </w:r>
    </w:p>
    <w:p>
      <w:pPr>
        <w:pStyle w:val="style66"/>
        <w:spacing w:lineRule="exact" w:line="407"/>
        <w:ind w:left="990"/>
        <w:jc w:val="both"/>
        <w:rPr/>
      </w:pPr>
      <w:r>
        <w:t>根据《中华人民共和国国防法》《中华人民共和国兵役法》</w:t>
      </w:r>
    </w:p>
    <w:p>
      <w:pPr>
        <w:pStyle w:val="style66"/>
        <w:spacing w:before="9"/>
        <w:jc w:val="both"/>
        <w:rPr>
          <w:sz w:val="22"/>
        </w:rPr>
      </w:pPr>
    </w:p>
    <w:p>
      <w:pPr>
        <w:pStyle w:val="style66"/>
        <w:spacing w:lineRule="auto" w:line="410"/>
        <w:ind w:left="359" w:right="711"/>
        <w:jc w:val="both"/>
        <w:rPr/>
      </w:pPr>
      <w:r>
        <w:rPr>
          <w:spacing w:val="-6"/>
        </w:rPr>
        <w:t>《中华人民共和国教育法》，为适应立德树人根本任务和强</w:t>
      </w:r>
      <w:r>
        <w:rPr>
          <w:spacing w:val="-7"/>
        </w:rPr>
        <w:t>军目标根本要求，服务军民融合发展战略实施和国防后备力</w:t>
      </w:r>
      <w:r>
        <w:rPr>
          <w:spacing w:val="-15"/>
        </w:rPr>
        <w:t xml:space="preserve">量建设，增强学生国防观念、国家安全意识和忧患危机意识， </w:t>
      </w:r>
      <w:r>
        <w:rPr>
          <w:spacing w:val="-2"/>
        </w:rPr>
        <w:t>提高学生综合国防素质，教育部、中央军委国防动员部联合</w:t>
      </w:r>
      <w:r>
        <w:rPr>
          <w:spacing w:val="-12"/>
        </w:rPr>
        <w:t>制订了《普通高等学校军事课教学大纲</w:t>
      </w:r>
      <w:r>
        <w:rPr>
          <w:spacing w:val="-269"/>
        </w:rPr>
        <w:t>》</w:t>
      </w:r>
      <w:r>
        <w:t>（</w:t>
      </w:r>
      <w:r>
        <w:rPr>
          <w:spacing w:val="-36"/>
        </w:rPr>
        <w:t>以下简称《大纲》</w:t>
      </w:r>
      <w:r>
        <w:rPr>
          <w:spacing w:val="-161"/>
        </w:rPr>
        <w:t>）</w:t>
      </w:r>
      <w:r>
        <w:rPr>
          <w:spacing w:val="-12"/>
        </w:rPr>
        <w:t>。</w:t>
      </w:r>
      <w:r>
        <w:rPr>
          <w:spacing w:val="-15"/>
        </w:rPr>
        <w:t xml:space="preserve">现将《大纲》印发给你们，请认真学习贯彻《大纲》的内容， </w:t>
      </w:r>
      <w:r>
        <w:rPr>
          <w:spacing w:val="-5"/>
        </w:rPr>
        <w:t>按照《大纲》要求，切实保障学生军事理论教学和军事技能</w:t>
      </w:r>
    </w:p>
    <w:p>
      <w:pPr>
        <w:pStyle w:val="style0"/>
        <w:spacing w:after="0" w:lineRule="auto" w:line="410"/>
        <w:jc w:val="both"/>
        <w:rPr/>
        <w:sectPr>
          <w:footerReference w:type="default" r:id="rId2"/>
          <w:type w:val="continuous"/>
          <w:pgSz w:w="11910" w:h="16840" w:orient="portrait"/>
          <w:pgMar w:top="1100" w:right="920" w:bottom="1540" w:left="1440" w:header="720" w:footer="1341" w:gutter="0"/>
          <w:pgNumType w:start="1"/>
        </w:sectPr>
      </w:pPr>
    </w:p>
    <w:p>
      <w:pPr>
        <w:pStyle w:val="style66"/>
        <w:spacing w:before="83" w:lineRule="auto" w:line="410"/>
        <w:ind w:left="359" w:right="870"/>
        <w:jc w:val="both"/>
        <w:rPr/>
      </w:pPr>
      <w:r>
        <w:rPr>
          <w:spacing w:val="-17"/>
        </w:rPr>
        <w:t xml:space="preserve">训练课时、内容和要求的落实。《大纲》于 </w:t>
      </w:r>
      <w:r>
        <w:rPr>
          <w:rFonts w:ascii="Times New Roman" w:eastAsia="Times New Roman"/>
        </w:rPr>
        <w:t xml:space="preserve">2019 </w:t>
      </w:r>
      <w:r>
        <w:rPr>
          <w:spacing w:val="-40"/>
        </w:rPr>
        <w:t xml:space="preserve">年 </w:t>
      </w:r>
      <w:r>
        <w:rPr>
          <w:rFonts w:ascii="Times New Roman" w:eastAsia="Times New Roman"/>
        </w:rPr>
        <w:t xml:space="preserve">8 </w:t>
      </w:r>
      <w:r>
        <w:rPr>
          <w:spacing w:val="-4"/>
        </w:rPr>
        <w:t>月起在</w:t>
      </w:r>
      <w:r>
        <w:rPr>
          <w:spacing w:val="-16"/>
        </w:rPr>
        <w:t>全国施行，原《大纲》</w:t>
      </w:r>
      <w:r>
        <w:t>（</w:t>
      </w:r>
      <w:r>
        <w:rPr>
          <w:rFonts w:ascii="Times New Roman" w:eastAsia="Times New Roman"/>
        </w:rPr>
        <w:t xml:space="preserve">2006 </w:t>
      </w:r>
      <w:r>
        <w:t>年修订）废止。</w:t>
      </w:r>
    </w:p>
    <w:p>
      <w:pPr>
        <w:pStyle w:val="style66"/>
        <w:rPr>
          <w:sz w:val="34"/>
        </w:rPr>
      </w:pPr>
    </w:p>
    <w:p>
      <w:pPr>
        <w:pStyle w:val="style66"/>
        <w:rPr>
          <w:sz w:val="34"/>
        </w:rPr>
      </w:pPr>
    </w:p>
    <w:p>
      <w:pPr>
        <w:pStyle w:val="style66"/>
        <w:rPr>
          <w:sz w:val="34"/>
        </w:rPr>
      </w:pPr>
    </w:p>
    <w:p>
      <w:pPr>
        <w:pStyle w:val="style66"/>
        <w:rPr>
          <w:sz w:val="34"/>
        </w:rPr>
      </w:pPr>
    </w:p>
    <w:p>
      <w:pPr>
        <w:pStyle w:val="style66"/>
        <w:rPr>
          <w:sz w:val="34"/>
        </w:rPr>
      </w:pPr>
    </w:p>
    <w:p>
      <w:pPr>
        <w:pStyle w:val="style66"/>
        <w:spacing w:before="11"/>
        <w:rPr>
          <w:sz w:val="25"/>
        </w:rPr>
      </w:pPr>
    </w:p>
    <w:p>
      <w:pPr>
        <w:pStyle w:val="style66"/>
        <w:tabs>
          <w:tab w:val="left" w:leader="none" w:pos="1636"/>
          <w:tab w:val="left" w:leader="none" w:pos="2277"/>
          <w:tab w:val="left" w:leader="none" w:pos="5317"/>
        </w:tabs>
        <w:ind w:left="997"/>
        <w:rPr/>
      </w:pPr>
      <w:r>
        <w:t>教</w:t>
      </w:r>
      <w:r>
        <w:tab/>
      </w:r>
      <w:r>
        <w:t>育</w:t>
      </w:r>
      <w:r>
        <w:tab/>
      </w:r>
      <w:r>
        <w:t>部</w:t>
      </w:r>
      <w:r>
        <w:tab/>
      </w:r>
      <w:r>
        <w:t>中央军委国防动员部</w:t>
      </w:r>
    </w:p>
    <w:p>
      <w:pPr>
        <w:pStyle w:val="style66"/>
        <w:spacing w:before="145"/>
        <w:ind w:left="5622"/>
        <w:rPr/>
      </w:pPr>
      <w:r>
        <w:rPr>
          <w:rFonts w:ascii="Times New Roman" w:eastAsia="Times New Roman"/>
        </w:rPr>
        <w:t xml:space="preserve">2019 </w:t>
      </w:r>
      <w:r>
        <w:t xml:space="preserve">年 </w:t>
      </w:r>
      <w:r>
        <w:rPr>
          <w:rFonts w:ascii="Times New Roman" w:eastAsia="Times New Roman"/>
        </w:rPr>
        <w:t xml:space="preserve">1 </w:t>
      </w:r>
      <w:r>
        <w:t xml:space="preserve">月 </w:t>
      </w:r>
      <w:r>
        <w:rPr>
          <w:rFonts w:ascii="Times New Roman" w:eastAsia="Times New Roman"/>
        </w:rPr>
        <w:t xml:space="preserve">11 </w:t>
      </w:r>
      <w:r>
        <w:t>日</w:t>
      </w:r>
    </w:p>
    <w:p>
      <w:pPr>
        <w:pStyle w:val="style0"/>
        <w:spacing w:after="0"/>
        <w:rPr/>
        <w:sectPr>
          <w:pgSz w:w="11910" w:h="16840" w:orient="portrait"/>
          <w:pgMar w:top="1580" w:right="920" w:bottom="1540" w:left="1440" w:header="0" w:footer="1341" w:gutter="0"/>
        </w:sectPr>
      </w:pPr>
    </w:p>
    <w:p>
      <w:pPr>
        <w:pStyle w:val="style1"/>
        <w:ind w:right="510"/>
        <w:rPr/>
      </w:pPr>
      <w:r>
        <w:t>普通高等学校军事课教学大纲</w:t>
      </w:r>
    </w:p>
    <w:p>
      <w:pPr>
        <w:pStyle w:val="style66"/>
        <w:rPr>
          <w:sz w:val="36"/>
        </w:rPr>
      </w:pPr>
    </w:p>
    <w:p>
      <w:pPr>
        <w:pStyle w:val="style66"/>
        <w:spacing w:before="11"/>
        <w:rPr>
          <w:sz w:val="28"/>
        </w:rPr>
      </w:pPr>
    </w:p>
    <w:p>
      <w:pPr>
        <w:pStyle w:val="style66"/>
        <w:spacing w:lineRule="auto" w:line="364"/>
        <w:ind w:left="359" w:right="870" w:firstLine="640"/>
        <w:jc w:val="both"/>
        <w:rPr/>
      </w:pPr>
      <w:r>
        <w:t>依据《中华人民共和国国防法》《中华人民共和国兵役法》《中华人民共和国教育法》以及国务院、中央军委有关文件精神，结合我国高等教育发展、国防和军队建设发展的实际情况，制订《普通高等学校军事课教学大纲》（以下简称《大纲》）。</w:t>
      </w:r>
    </w:p>
    <w:p>
      <w:pPr>
        <w:pStyle w:val="style66"/>
        <w:spacing w:before="4"/>
        <w:ind w:left="997"/>
        <w:rPr>
          <w:rFonts w:ascii="黑体" w:eastAsia="黑体" w:hint="eastAsia"/>
        </w:rPr>
      </w:pPr>
      <w:r>
        <w:rPr>
          <w:rFonts w:ascii="黑体" w:eastAsia="黑体" w:hint="eastAsia"/>
        </w:rPr>
        <w:t>一、课程定位</w:t>
      </w:r>
    </w:p>
    <w:p>
      <w:pPr>
        <w:pStyle w:val="style66"/>
        <w:spacing w:before="214" w:lineRule="auto" w:line="364"/>
        <w:ind w:left="359" w:right="867" w:firstLine="640"/>
        <w:jc w:val="both"/>
        <w:rPr/>
      </w:pPr>
      <w:r>
        <w:rPr>
          <w:spacing w:val="-1"/>
        </w:rPr>
        <w:t>军事课是普通高等学校学生的必修课程。军事课要以习</w:t>
      </w:r>
      <w:r>
        <w:rPr>
          <w:spacing w:val="-2"/>
        </w:rPr>
        <w:t xml:space="preserve">近平强军思想和习近平总书记关于教育的重要论述为遵循， </w:t>
      </w:r>
      <w:r>
        <w:rPr>
          <w:spacing w:val="-1"/>
        </w:rPr>
        <w:t>全面贯彻党的教育方针、新时代军事战略方针和总体国家安</w:t>
      </w:r>
      <w:r>
        <w:rPr>
          <w:spacing w:val="-3"/>
        </w:rPr>
        <w:t>全观，围绕立德树人根本任务和强军目标根本要求，着眼培</w:t>
      </w:r>
      <w:r>
        <w:rPr>
          <w:spacing w:val="9"/>
          <w:w w:val="95"/>
        </w:rPr>
        <w:t>育和践行社会主义核心价值观</w:t>
      </w:r>
      <w:r>
        <w:rPr>
          <w:rFonts w:ascii="Times New Roman" w:eastAsia="Times New Roman"/>
          <w:spacing w:val="9"/>
          <w:w w:val="95"/>
        </w:rPr>
        <w:t>,</w:t>
      </w:r>
      <w:r>
        <w:rPr>
          <w:spacing w:val="8"/>
          <w:w w:val="95"/>
        </w:rPr>
        <w:t xml:space="preserve">以提升学生国防意识和军事 </w:t>
      </w:r>
      <w:r>
        <w:t>素养为重点，为实施军民融合发展战略和建设国防后备力量服务。</w:t>
      </w:r>
    </w:p>
    <w:p>
      <w:pPr>
        <w:pStyle w:val="style66"/>
        <w:spacing w:before="6"/>
        <w:ind w:left="1000"/>
        <w:rPr>
          <w:rFonts w:ascii="黑体" w:eastAsia="黑体" w:hint="eastAsia"/>
        </w:rPr>
      </w:pPr>
      <w:r>
        <w:rPr>
          <w:rFonts w:ascii="黑体" w:eastAsia="黑体" w:hint="eastAsia"/>
        </w:rPr>
        <w:t>二、课程目标</w:t>
      </w:r>
    </w:p>
    <w:p>
      <w:pPr>
        <w:pStyle w:val="style66"/>
        <w:spacing w:before="214" w:lineRule="auto" w:line="364"/>
        <w:ind w:left="359" w:right="870" w:firstLine="640"/>
        <w:jc w:val="both"/>
        <w:rPr/>
      </w:pPr>
      <w:r>
        <w:t>普通高等学校通过军事课教学，让学生了解掌握军事基础知识和基本军事技能，增强国防观念、国家安全意识和忧患危机意识，弘扬爱国主义精神、传承红色基因、提高学生综合国防素质。</w:t>
      </w:r>
    </w:p>
    <w:p>
      <w:pPr>
        <w:pStyle w:val="style0"/>
        <w:spacing w:after="0" w:lineRule="auto" w:line="364"/>
        <w:jc w:val="both"/>
        <w:rPr/>
        <w:sectPr>
          <w:pgSz w:w="11910" w:h="16840" w:orient="portrait"/>
          <w:pgMar w:top="1460" w:right="920" w:bottom="1540" w:left="1440" w:header="0" w:footer="1341" w:gutter="0"/>
        </w:sectPr>
      </w:pPr>
    </w:p>
    <w:p>
      <w:pPr>
        <w:pStyle w:val="style66"/>
        <w:spacing w:before="43"/>
        <w:ind w:left="1000"/>
        <w:rPr>
          <w:rFonts w:ascii="黑体" w:eastAsia="黑体" w:hint="eastAsia"/>
        </w:rPr>
      </w:pPr>
      <w:r>
        <w:rPr>
          <w:rFonts w:ascii="黑体" w:eastAsia="黑体" w:hint="eastAsia"/>
        </w:rPr>
        <w:t>三</w:t>
      </w:r>
      <w:r>
        <w:rPr>
          <w:rFonts w:ascii="黑体" w:eastAsia="黑体" w:hint="eastAsia"/>
          <w:i/>
          <w:sz w:val="33"/>
        </w:rPr>
        <w:t>、</w:t>
      </w:r>
      <w:r>
        <w:rPr>
          <w:rFonts w:ascii="黑体" w:eastAsia="黑体" w:hint="eastAsia"/>
        </w:rPr>
        <w:t>课程要求</w:t>
      </w:r>
    </w:p>
    <w:p>
      <w:pPr>
        <w:pStyle w:val="style66"/>
        <w:spacing w:before="177" w:lineRule="auto" w:line="350"/>
        <w:ind w:left="359" w:right="870" w:firstLine="640"/>
        <w:jc w:val="both"/>
        <w:rPr/>
      </w:pPr>
      <w:r>
        <w:t>军事课纳入普通高等学校人才培养体系，列入学校人才培养方案和教学计划，实行学分制管理，课程考核成绩记入学籍档案。</w:t>
      </w:r>
    </w:p>
    <w:p>
      <w:pPr>
        <w:pStyle w:val="style66"/>
        <w:spacing w:before="4" w:lineRule="auto" w:line="350"/>
        <w:ind w:left="359" w:right="870" w:firstLine="640"/>
        <w:jc w:val="both"/>
        <w:rPr/>
      </w:pPr>
      <w:r>
        <w:t xml:space="preserve">军事课由《军事理论》《军事技能》两部分组成。《军事理论》教学时数 </w:t>
      </w:r>
      <w:r>
        <w:rPr>
          <w:rFonts w:ascii="Times New Roman" w:eastAsia="Times New Roman"/>
        </w:rPr>
        <w:t xml:space="preserve">36 </w:t>
      </w:r>
      <w:r>
        <w:t xml:space="preserve">学时，记 </w:t>
      </w:r>
      <w:r>
        <w:rPr>
          <w:rFonts w:ascii="Times New Roman" w:eastAsia="Times New Roman"/>
        </w:rPr>
        <w:t xml:space="preserve">2 </w:t>
      </w:r>
      <w:r>
        <w:t>学分；《军事技能》训练</w:t>
      </w:r>
    </w:p>
    <w:p>
      <w:pPr>
        <w:pStyle w:val="style66"/>
        <w:spacing w:before="3" w:lineRule="auto" w:line="350"/>
        <w:ind w:left="359" w:right="870"/>
        <w:jc w:val="both"/>
        <w:rPr/>
      </w:pPr>
      <w:r>
        <w:rPr>
          <w:spacing w:val="-24"/>
        </w:rPr>
        <w:t xml:space="preserve">时间 </w:t>
      </w:r>
      <w:r>
        <w:rPr>
          <w:rFonts w:ascii="Times New Roman" w:eastAsia="Times New Roman" w:hAnsi="Times New Roman"/>
        </w:rPr>
        <w:t xml:space="preserve">2—3 </w:t>
      </w:r>
      <w:r>
        <w:rPr>
          <w:spacing w:val="-6"/>
        </w:rPr>
        <w:t xml:space="preserve">周，实际训练时间不得少于 </w:t>
      </w:r>
      <w:r>
        <w:rPr>
          <w:rFonts w:ascii="Times New Roman" w:eastAsia="Times New Roman" w:hAnsi="Times New Roman"/>
        </w:rPr>
        <w:t xml:space="preserve">14 </w:t>
      </w:r>
      <w:r>
        <w:rPr>
          <w:spacing w:val="-35"/>
        </w:rPr>
        <w:t xml:space="preserve">天 </w:t>
      </w:r>
      <w:r>
        <w:rPr>
          <w:rFonts w:ascii="Times New Roman" w:eastAsia="Times New Roman" w:hAnsi="Times New Roman"/>
        </w:rPr>
        <w:t xml:space="preserve">112 </w:t>
      </w:r>
      <w:r>
        <w:rPr>
          <w:spacing w:val="-14"/>
        </w:rPr>
        <w:t xml:space="preserve">学时，记 </w:t>
      </w:r>
      <w:r>
        <w:rPr>
          <w:rFonts w:ascii="Times New Roman" w:eastAsia="Times New Roman" w:hAnsi="Times New Roman"/>
        </w:rPr>
        <w:t xml:space="preserve">2 </w:t>
      </w:r>
      <w:r>
        <w:rPr>
          <w:spacing w:val="2"/>
        </w:rPr>
        <w:t>学分。课程内容含</w:t>
      </w:r>
      <w:r>
        <w:rPr>
          <w:rFonts w:ascii="Times New Roman" w:eastAsia="Times New Roman" w:hAnsi="Times New Roman"/>
          <w:spacing w:val="4"/>
        </w:rPr>
        <w:t>“</w:t>
      </w:r>
      <w:r>
        <w:rPr>
          <w:spacing w:val="2"/>
        </w:rPr>
        <w:t>必讲</w:t>
      </w:r>
      <w:r>
        <w:rPr>
          <w:spacing w:val="4"/>
        </w:rPr>
        <w:t>（</w:t>
      </w:r>
      <w:r>
        <w:rPr>
          <w:spacing w:val="2"/>
        </w:rPr>
        <w:t>必训</w:t>
      </w:r>
      <w:r>
        <w:t>）</w:t>
      </w:r>
      <w:r>
        <w:rPr>
          <w:rFonts w:ascii="Times New Roman" w:eastAsia="Times New Roman" w:hAnsi="Times New Roman"/>
        </w:rPr>
        <w:t>”</w:t>
      </w:r>
      <w:r>
        <w:rPr>
          <w:spacing w:val="4"/>
        </w:rPr>
        <w:t>内容（</w:t>
      </w:r>
      <w:r>
        <w:t>以</w:t>
      </w:r>
      <w:r>
        <w:rPr>
          <w:rFonts w:ascii="Times New Roman" w:eastAsia="Times New Roman" w:hAnsi="Times New Roman"/>
        </w:rPr>
        <w:t>“*”</w:t>
      </w:r>
      <w:r>
        <w:rPr>
          <w:spacing w:val="2"/>
        </w:rPr>
        <w:t>标识</w:t>
      </w:r>
      <w:r>
        <w:rPr>
          <w:spacing w:val="4"/>
        </w:rPr>
        <w:t>）</w:t>
      </w:r>
      <w:r>
        <w:t>和</w:t>
      </w:r>
      <w:r>
        <w:rPr>
          <w:rFonts w:ascii="Times New Roman" w:eastAsia="Times New Roman" w:hAnsi="Times New Roman"/>
          <w:spacing w:val="4"/>
        </w:rPr>
        <w:t>“</w:t>
      </w:r>
      <w:r>
        <w:t>选</w:t>
      </w:r>
      <w:r>
        <w:rPr>
          <w:spacing w:val="-29"/>
        </w:rPr>
        <w:t>讲</w:t>
      </w:r>
      <w:r>
        <w:t>（选训</w:t>
      </w:r>
      <w:r>
        <w:rPr>
          <w:spacing w:val="-16"/>
        </w:rPr>
        <w:t>）</w:t>
      </w:r>
      <w:r>
        <w:rPr>
          <w:rFonts w:ascii="Times New Roman" w:eastAsia="Times New Roman" w:hAnsi="Times New Roman"/>
          <w:spacing w:val="-16"/>
        </w:rPr>
        <w:t>”</w:t>
      </w:r>
      <w:r>
        <w:rPr>
          <w:spacing w:val="-16"/>
        </w:rPr>
        <w:t>内容</w:t>
      </w:r>
      <w:r>
        <w:t>（其他未标识者</w:t>
      </w:r>
      <w:r>
        <w:rPr>
          <w:spacing w:val="-29"/>
        </w:rPr>
        <w:t>），</w:t>
      </w:r>
      <w:r>
        <w:rPr>
          <w:spacing w:val="-2"/>
        </w:rPr>
        <w:t>各学校可根据本校实际</w:t>
      </w:r>
      <w:r>
        <w:t>情况在确保完成</w:t>
      </w:r>
      <w:r>
        <w:rPr>
          <w:rFonts w:ascii="Times New Roman" w:eastAsia="Times New Roman" w:hAnsi="Times New Roman"/>
        </w:rPr>
        <w:t>“</w:t>
      </w:r>
      <w:r>
        <w:rPr>
          <w:spacing w:val="-20"/>
        </w:rPr>
        <w:t>必讲</w:t>
      </w:r>
      <w:r>
        <w:t>（必训</w:t>
      </w:r>
      <w:r>
        <w:rPr>
          <w:spacing w:val="-19"/>
        </w:rPr>
        <w:t>）</w:t>
      </w:r>
      <w:r>
        <w:rPr>
          <w:rFonts w:ascii="Times New Roman" w:eastAsia="Times New Roman" w:hAnsi="Times New Roman"/>
          <w:spacing w:val="-19"/>
        </w:rPr>
        <w:t>”</w:t>
      </w:r>
      <w:r>
        <w:rPr>
          <w:spacing w:val="-6"/>
        </w:rPr>
        <w:t>内容的基础上，灵活选择</w:t>
      </w:r>
      <w:r>
        <w:rPr>
          <w:rFonts w:ascii="Times New Roman" w:eastAsia="Times New Roman" w:hAnsi="Times New Roman"/>
        </w:rPr>
        <w:t>“</w:t>
      </w:r>
      <w:r>
        <w:rPr>
          <w:spacing w:val="-11"/>
        </w:rPr>
        <w:t>选</w:t>
      </w:r>
      <w:r>
        <w:t>讲（选训）</w:t>
      </w:r>
      <w:r>
        <w:rPr>
          <w:rFonts w:ascii="Times New Roman" w:eastAsia="Times New Roman" w:hAnsi="Times New Roman"/>
        </w:rPr>
        <w:t>”</w:t>
      </w:r>
      <w:r>
        <w:t>内容，但必须完成总学时。</w:t>
      </w:r>
    </w:p>
    <w:p>
      <w:pPr>
        <w:pStyle w:val="style66"/>
        <w:spacing w:before="7" w:lineRule="auto" w:line="350"/>
        <w:ind w:left="359" w:right="870" w:firstLine="640"/>
        <w:rPr/>
      </w:pPr>
      <w:r>
        <w:t>普通高等学校要严格按纲施教、施训和考核，严禁以任何理由和方式调减、占用教学、训练内容和时数。</w:t>
      </w:r>
    </w:p>
    <w:p>
      <w:pPr>
        <w:pStyle w:val="style66"/>
        <w:spacing w:before="3"/>
        <w:ind w:left="1000"/>
        <w:rPr>
          <w:rFonts w:ascii="黑体" w:eastAsia="黑体" w:hint="eastAsia"/>
        </w:rPr>
      </w:pPr>
      <w:r>
        <w:rPr>
          <w:rFonts w:ascii="黑体" w:eastAsia="黑体" w:hint="eastAsia"/>
        </w:rPr>
        <w:t>四、课程内容</w:t>
      </w:r>
    </w:p>
    <w:p>
      <w:pPr>
        <w:pStyle w:val="style66"/>
        <w:spacing w:before="135"/>
        <w:ind w:left="832"/>
        <w:rPr/>
      </w:pPr>
      <w:r>
        <w:t>（一）《军事理论》教学内容、教学目标与教学时数</w:t>
      </w:r>
    </w:p>
    <w:p>
      <w:pPr>
        <w:pStyle w:val="style66"/>
        <w:spacing w:before="6" w:after="1"/>
        <w:rPr>
          <w:sz w:val="8"/>
        </w:rPr>
      </w:pPr>
    </w:p>
    <w:tbl>
      <w:tblPr>
        <w:tblStyle w:val="style105"/>
        <w:tblW w:w="9170" w:type="dxa"/>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Pr>
      <w:tblGrid>
        <w:gridCol w:w="648"/>
        <w:gridCol w:w="2155"/>
        <w:gridCol w:w="2693"/>
        <w:gridCol w:w="1983"/>
        <w:gridCol w:w="819"/>
        <w:gridCol w:w="872"/>
      </w:tblGrid>
      <w:tr>
        <w:trPr>
          <w:trHeight w:val="623" w:hRule="atLeast"/>
        </w:trPr>
        <w:tc>
          <w:tcPr>
            <w:tcW w:w="5496" w:type="dxa"/>
            <w:gridSpan w:val="3"/>
            <w:tcBorders>
              <w:left w:val="nil"/>
            </w:tcBorders>
          </w:tcPr>
          <w:p>
            <w:pPr>
              <w:pStyle w:val="style4098"/>
              <w:spacing w:before="178"/>
              <w:ind w:left="2312" w:right="2298"/>
              <w:jc w:val="center"/>
              <w:rPr>
                <w:sz w:val="21"/>
              </w:rPr>
            </w:pPr>
            <w:r>
              <w:rPr>
                <w:sz w:val="21"/>
              </w:rPr>
              <w:t>教学内容</w:t>
            </w:r>
          </w:p>
        </w:tc>
        <w:tc>
          <w:tcPr>
            <w:tcW w:w="1983" w:type="dxa"/>
            <w:tcBorders/>
          </w:tcPr>
          <w:p>
            <w:pPr>
              <w:pStyle w:val="style4098"/>
              <w:spacing w:before="178"/>
              <w:ind w:left="105"/>
              <w:rPr>
                <w:sz w:val="21"/>
              </w:rPr>
            </w:pPr>
            <w:r>
              <w:rPr>
                <w:sz w:val="21"/>
              </w:rPr>
              <w:t>教学目标</w:t>
            </w:r>
          </w:p>
        </w:tc>
        <w:tc>
          <w:tcPr>
            <w:tcW w:w="819" w:type="dxa"/>
            <w:tcBorders/>
          </w:tcPr>
          <w:p>
            <w:pPr>
              <w:pStyle w:val="style4098"/>
              <w:spacing w:before="22"/>
              <w:ind w:left="107"/>
              <w:rPr>
                <w:sz w:val="21"/>
              </w:rPr>
            </w:pPr>
            <w:r>
              <w:rPr>
                <w:sz w:val="21"/>
              </w:rPr>
              <w:t>建议</w:t>
            </w:r>
          </w:p>
          <w:p>
            <w:pPr>
              <w:pStyle w:val="style4098"/>
              <w:spacing w:before="43"/>
              <w:ind w:left="107"/>
              <w:rPr>
                <w:sz w:val="21"/>
              </w:rPr>
            </w:pPr>
            <w:r>
              <w:rPr>
                <w:sz w:val="21"/>
              </w:rPr>
              <w:t>学时</w:t>
            </w:r>
          </w:p>
        </w:tc>
        <w:tc>
          <w:tcPr>
            <w:tcW w:w="872" w:type="dxa"/>
            <w:tcBorders>
              <w:right w:val="nil"/>
            </w:tcBorders>
          </w:tcPr>
          <w:p>
            <w:pPr>
              <w:pStyle w:val="style4098"/>
              <w:spacing w:before="178"/>
              <w:ind w:left="106"/>
              <w:rPr>
                <w:sz w:val="21"/>
              </w:rPr>
            </w:pPr>
            <w:r>
              <w:rPr>
                <w:sz w:val="21"/>
              </w:rPr>
              <w:t>备注</w:t>
            </w:r>
          </w:p>
        </w:tc>
      </w:tr>
      <w:tr>
        <w:tblPrEx/>
        <w:trPr>
          <w:trHeight w:val="841" w:hRule="atLeast"/>
        </w:trPr>
        <w:tc>
          <w:tcPr>
            <w:tcW w:w="648" w:type="dxa"/>
            <w:vMerge w:val="restart"/>
            <w:tcBorders>
              <w:left w:val="nil"/>
            </w:tcBorders>
          </w:tcPr>
          <w:p>
            <w:pPr>
              <w:pStyle w:val="style4098"/>
              <w:rPr>
                <w:sz w:val="20"/>
              </w:rPr>
            </w:pPr>
          </w:p>
          <w:p>
            <w:pPr>
              <w:pStyle w:val="style4098"/>
              <w:rPr>
                <w:sz w:val="20"/>
              </w:rPr>
            </w:pPr>
          </w:p>
          <w:p>
            <w:pPr>
              <w:pStyle w:val="style4098"/>
              <w:rPr>
                <w:sz w:val="20"/>
              </w:rPr>
            </w:pPr>
          </w:p>
          <w:p>
            <w:pPr>
              <w:pStyle w:val="style4098"/>
              <w:rPr>
                <w:sz w:val="20"/>
              </w:rPr>
            </w:pPr>
          </w:p>
          <w:p>
            <w:pPr>
              <w:pStyle w:val="style4098"/>
              <w:rPr>
                <w:sz w:val="20"/>
              </w:rPr>
            </w:pPr>
          </w:p>
          <w:p>
            <w:pPr>
              <w:pStyle w:val="style4098"/>
              <w:rPr>
                <w:sz w:val="20"/>
              </w:rPr>
            </w:pPr>
          </w:p>
          <w:p>
            <w:pPr>
              <w:pStyle w:val="style4098"/>
              <w:spacing w:before="8"/>
              <w:rPr>
                <w:sz w:val="21"/>
              </w:rPr>
            </w:pPr>
          </w:p>
          <w:p>
            <w:pPr>
              <w:pStyle w:val="style4098"/>
              <w:spacing w:before="1" w:lineRule="auto" w:line="278"/>
              <w:ind w:left="112" w:right="96"/>
              <w:rPr>
                <w:sz w:val="21"/>
              </w:rPr>
            </w:pPr>
            <w:r>
              <w:rPr>
                <w:sz w:val="21"/>
              </w:rPr>
              <w:t>中国国防</w:t>
            </w:r>
          </w:p>
        </w:tc>
        <w:tc>
          <w:tcPr>
            <w:tcW w:w="2155" w:type="dxa"/>
            <w:tcBorders/>
          </w:tcPr>
          <w:p>
            <w:pPr>
              <w:pStyle w:val="style4098"/>
              <w:spacing w:before="6"/>
              <w:rPr>
                <w:sz w:val="22"/>
              </w:rPr>
            </w:pPr>
          </w:p>
          <w:p>
            <w:pPr>
              <w:pStyle w:val="style4098"/>
              <w:numPr>
                <w:ilvl w:val="0"/>
                <w:numId w:val="1"/>
              </w:numPr>
              <w:tabs>
                <w:tab w:val="left" w:leader="none" w:pos="319"/>
              </w:tabs>
              <w:spacing w:before="0" w:after="0" w:lineRule="auto" w:line="240"/>
              <w:ind w:left="319" w:right="0" w:hanging="212"/>
              <w:jc w:val="left"/>
              <w:rPr>
                <w:sz w:val="21"/>
              </w:rPr>
            </w:pPr>
            <w:r>
              <w:rPr>
                <w:spacing w:val="-2"/>
                <w:sz w:val="21"/>
              </w:rPr>
              <w:t>国防概述</w:t>
            </w:r>
          </w:p>
        </w:tc>
        <w:tc>
          <w:tcPr>
            <w:tcW w:w="2693" w:type="dxa"/>
            <w:tcBorders/>
          </w:tcPr>
          <w:p>
            <w:pPr>
              <w:pStyle w:val="style4098"/>
              <w:spacing w:before="133" w:lineRule="auto" w:line="278"/>
              <w:ind w:left="105" w:right="37"/>
              <w:rPr>
                <w:sz w:val="21"/>
              </w:rPr>
            </w:pPr>
            <w:r>
              <w:rPr>
                <w:sz w:val="21"/>
              </w:rPr>
              <w:t>国防的内涵、国防类型、国防历史与启示、现代国防观</w:t>
            </w:r>
          </w:p>
        </w:tc>
        <w:tc>
          <w:tcPr>
            <w:tcW w:w="1983" w:type="dxa"/>
            <w:vMerge w:val="restart"/>
            <w:tcBorders/>
          </w:tcPr>
          <w:p>
            <w:pPr>
              <w:pStyle w:val="style4098"/>
              <w:spacing w:before="11"/>
              <w:rPr>
                <w:sz w:val="19"/>
              </w:rPr>
            </w:pPr>
          </w:p>
          <w:p>
            <w:pPr>
              <w:pStyle w:val="style4098"/>
              <w:spacing w:before="1" w:lineRule="auto" w:line="278"/>
              <w:ind w:left="105" w:right="94"/>
              <w:jc w:val="both"/>
              <w:rPr>
                <w:sz w:val="21"/>
              </w:rPr>
            </w:pPr>
            <w:r>
              <w:rPr>
                <w:sz w:val="21"/>
              </w:rPr>
              <w:t>理解国防内涵和国防历史，树立正确的国防观；了解我国国防体制、国防战略、国防政策以及国防成就，激发学生的爱国热情； 熟悉国防法规、武装力量、国防动员的主要内容，增强学生国防意识</w:t>
            </w:r>
          </w:p>
        </w:tc>
        <w:tc>
          <w:tcPr>
            <w:tcW w:w="819" w:type="dxa"/>
            <w:vMerge w:val="restart"/>
            <w:tcBorders/>
          </w:tcPr>
          <w:p>
            <w:pPr>
              <w:pStyle w:val="style4098"/>
              <w:rPr>
                <w:sz w:val="22"/>
              </w:rPr>
            </w:pPr>
          </w:p>
          <w:p>
            <w:pPr>
              <w:pStyle w:val="style4098"/>
              <w:rPr>
                <w:sz w:val="22"/>
              </w:rPr>
            </w:pPr>
          </w:p>
          <w:p>
            <w:pPr>
              <w:pStyle w:val="style4098"/>
              <w:rPr>
                <w:sz w:val="22"/>
              </w:rPr>
            </w:pPr>
          </w:p>
          <w:p>
            <w:pPr>
              <w:pStyle w:val="style4098"/>
              <w:rPr>
                <w:sz w:val="22"/>
              </w:rPr>
            </w:pPr>
          </w:p>
          <w:p>
            <w:pPr>
              <w:pStyle w:val="style4098"/>
              <w:rPr>
                <w:sz w:val="22"/>
              </w:rPr>
            </w:pPr>
          </w:p>
          <w:p>
            <w:pPr>
              <w:pStyle w:val="style4098"/>
              <w:spacing w:before="7"/>
              <w:rPr>
                <w:sz w:val="32"/>
              </w:rPr>
            </w:pPr>
          </w:p>
          <w:p>
            <w:pPr>
              <w:pStyle w:val="style4098"/>
              <w:ind w:left="282" w:right="277"/>
              <w:jc w:val="center"/>
              <w:rPr>
                <w:rFonts w:ascii="Times New Roman"/>
                <w:sz w:val="21"/>
              </w:rPr>
            </w:pPr>
            <w:r>
              <w:rPr>
                <w:rFonts w:ascii="Times New Roman"/>
                <w:sz w:val="21"/>
              </w:rPr>
              <w:t>10</w:t>
            </w:r>
          </w:p>
        </w:tc>
        <w:tc>
          <w:tcPr>
            <w:tcW w:w="872" w:type="dxa"/>
            <w:vMerge w:val="restart"/>
            <w:tcBorders>
              <w:right w:val="nil"/>
            </w:tcBorders>
          </w:tcPr>
          <w:p>
            <w:pPr>
              <w:pStyle w:val="style4098"/>
              <w:rPr>
                <w:rFonts w:ascii="Times New Roman"/>
                <w:sz w:val="26"/>
              </w:rPr>
            </w:pPr>
          </w:p>
        </w:tc>
      </w:tr>
      <w:tr>
        <w:tblPrEx/>
        <w:trPr>
          <w:trHeight w:val="705" w:hRule="atLeast"/>
        </w:trPr>
        <w:tc>
          <w:tcPr>
            <w:tcW w:w="648" w:type="dxa"/>
            <w:vMerge w:val="continue"/>
            <w:tcBorders>
              <w:top w:val="nil"/>
              <w:left w:val="nil"/>
            </w:tcBorders>
          </w:tcPr>
          <w:p>
            <w:pPr>
              <w:pStyle w:val="style0"/>
              <w:rPr>
                <w:sz w:val="2"/>
                <w:szCs w:val="2"/>
              </w:rPr>
            </w:pPr>
          </w:p>
        </w:tc>
        <w:tc>
          <w:tcPr>
            <w:tcW w:w="2155" w:type="dxa"/>
            <w:tcBorders/>
          </w:tcPr>
          <w:p>
            <w:pPr>
              <w:pStyle w:val="style4098"/>
              <w:numPr>
                <w:ilvl w:val="0"/>
                <w:numId w:val="2"/>
              </w:numPr>
              <w:tabs>
                <w:tab w:val="left" w:leader="none" w:pos="319"/>
              </w:tabs>
              <w:spacing w:before="218" w:after="0" w:lineRule="auto" w:line="240"/>
              <w:ind w:left="319" w:right="0" w:hanging="212"/>
              <w:jc w:val="left"/>
              <w:rPr>
                <w:sz w:val="21"/>
              </w:rPr>
            </w:pPr>
            <w:r>
              <w:rPr>
                <w:spacing w:val="-2"/>
                <w:sz w:val="21"/>
              </w:rPr>
              <w:t>国防法规</w:t>
            </w:r>
          </w:p>
        </w:tc>
        <w:tc>
          <w:tcPr>
            <w:tcW w:w="2693" w:type="dxa"/>
            <w:tcBorders/>
          </w:tcPr>
          <w:p>
            <w:pPr>
              <w:pStyle w:val="style4098"/>
              <w:spacing w:before="22" w:lineRule="atLeast" w:line="310"/>
              <w:ind w:left="105" w:right="37"/>
              <w:rPr>
                <w:sz w:val="21"/>
              </w:rPr>
            </w:pPr>
            <w:r>
              <w:rPr>
                <w:sz w:val="21"/>
              </w:rPr>
              <w:t>国防法规体系、公民的国防权利与义务</w:t>
            </w:r>
          </w:p>
        </w:tc>
        <w:tc>
          <w:tcPr>
            <w:tcW w:w="1983" w:type="dxa"/>
            <w:vMerge w:val="continue"/>
            <w:tcBorders>
              <w:top w:val="nil"/>
            </w:tcBorders>
          </w:tcPr>
          <w:p>
            <w:pPr>
              <w:pStyle w:val="style0"/>
              <w:rPr>
                <w:sz w:val="2"/>
                <w:szCs w:val="2"/>
              </w:rPr>
            </w:pPr>
          </w:p>
        </w:tc>
        <w:tc>
          <w:tcPr>
            <w:tcW w:w="819" w:type="dxa"/>
            <w:vMerge w:val="continue"/>
            <w:tcBorders>
              <w:top w:val="nil"/>
            </w:tcBorders>
          </w:tcPr>
          <w:p>
            <w:pPr>
              <w:pStyle w:val="style0"/>
              <w:rPr>
                <w:sz w:val="2"/>
                <w:szCs w:val="2"/>
              </w:rPr>
            </w:pPr>
          </w:p>
        </w:tc>
        <w:tc>
          <w:tcPr>
            <w:tcW w:w="872" w:type="dxa"/>
            <w:vMerge w:val="continue"/>
            <w:tcBorders>
              <w:top w:val="nil"/>
              <w:right w:val="nil"/>
            </w:tcBorders>
          </w:tcPr>
          <w:p>
            <w:pPr>
              <w:pStyle w:val="style0"/>
              <w:rPr>
                <w:sz w:val="2"/>
                <w:szCs w:val="2"/>
              </w:rPr>
            </w:pPr>
          </w:p>
        </w:tc>
      </w:tr>
      <w:tr>
        <w:tblPrEx/>
        <w:trPr>
          <w:trHeight w:val="688" w:hRule="atLeast"/>
        </w:trPr>
        <w:tc>
          <w:tcPr>
            <w:tcW w:w="648" w:type="dxa"/>
            <w:vMerge w:val="continue"/>
            <w:tcBorders>
              <w:top w:val="nil"/>
              <w:left w:val="nil"/>
            </w:tcBorders>
          </w:tcPr>
          <w:p>
            <w:pPr>
              <w:pStyle w:val="style0"/>
              <w:rPr>
                <w:sz w:val="2"/>
                <w:szCs w:val="2"/>
              </w:rPr>
            </w:pPr>
          </w:p>
        </w:tc>
        <w:tc>
          <w:tcPr>
            <w:tcW w:w="2155" w:type="dxa"/>
            <w:tcBorders/>
          </w:tcPr>
          <w:p>
            <w:pPr>
              <w:pStyle w:val="style4098"/>
              <w:numPr>
                <w:ilvl w:val="0"/>
                <w:numId w:val="3"/>
              </w:numPr>
              <w:tabs>
                <w:tab w:val="left" w:leader="none" w:pos="319"/>
              </w:tabs>
              <w:spacing w:before="211" w:after="0" w:lineRule="auto" w:line="240"/>
              <w:ind w:left="319" w:right="0" w:hanging="212"/>
              <w:jc w:val="left"/>
              <w:rPr>
                <w:sz w:val="21"/>
              </w:rPr>
            </w:pPr>
            <w:r>
              <w:rPr>
                <w:spacing w:val="-2"/>
                <w:sz w:val="21"/>
              </w:rPr>
              <w:t>国防建设</w:t>
            </w:r>
          </w:p>
        </w:tc>
        <w:tc>
          <w:tcPr>
            <w:tcW w:w="2693" w:type="dxa"/>
            <w:tcBorders/>
          </w:tcPr>
          <w:p>
            <w:pPr>
              <w:pStyle w:val="style4098"/>
              <w:spacing w:before="15" w:lineRule="atLeast" w:line="310"/>
              <w:ind w:left="105" w:right="37"/>
              <w:rPr>
                <w:sz w:val="21"/>
              </w:rPr>
            </w:pPr>
            <w:r>
              <w:rPr>
                <w:sz w:val="21"/>
              </w:rPr>
              <w:t>国防体制、国防战略、国防政策、国防成就、军民融合</w:t>
            </w:r>
          </w:p>
        </w:tc>
        <w:tc>
          <w:tcPr>
            <w:tcW w:w="1983" w:type="dxa"/>
            <w:vMerge w:val="continue"/>
            <w:tcBorders>
              <w:top w:val="nil"/>
            </w:tcBorders>
          </w:tcPr>
          <w:p>
            <w:pPr>
              <w:pStyle w:val="style0"/>
              <w:rPr>
                <w:sz w:val="2"/>
                <w:szCs w:val="2"/>
              </w:rPr>
            </w:pPr>
          </w:p>
        </w:tc>
        <w:tc>
          <w:tcPr>
            <w:tcW w:w="819" w:type="dxa"/>
            <w:vMerge w:val="continue"/>
            <w:tcBorders>
              <w:top w:val="nil"/>
            </w:tcBorders>
          </w:tcPr>
          <w:p>
            <w:pPr>
              <w:pStyle w:val="style0"/>
              <w:rPr>
                <w:sz w:val="2"/>
                <w:szCs w:val="2"/>
              </w:rPr>
            </w:pPr>
          </w:p>
        </w:tc>
        <w:tc>
          <w:tcPr>
            <w:tcW w:w="872" w:type="dxa"/>
            <w:vMerge w:val="continue"/>
            <w:tcBorders>
              <w:top w:val="nil"/>
              <w:right w:val="nil"/>
            </w:tcBorders>
          </w:tcPr>
          <w:p>
            <w:pPr>
              <w:pStyle w:val="style0"/>
              <w:rPr>
                <w:sz w:val="2"/>
                <w:szCs w:val="2"/>
              </w:rPr>
            </w:pPr>
          </w:p>
        </w:tc>
      </w:tr>
      <w:tr>
        <w:tblPrEx/>
        <w:trPr>
          <w:trHeight w:val="995" w:hRule="atLeast"/>
        </w:trPr>
        <w:tc>
          <w:tcPr>
            <w:tcW w:w="648" w:type="dxa"/>
            <w:vMerge w:val="continue"/>
            <w:tcBorders>
              <w:top w:val="nil"/>
              <w:left w:val="nil"/>
            </w:tcBorders>
          </w:tcPr>
          <w:p>
            <w:pPr>
              <w:pStyle w:val="style0"/>
              <w:rPr>
                <w:sz w:val="2"/>
                <w:szCs w:val="2"/>
              </w:rPr>
            </w:pPr>
          </w:p>
        </w:tc>
        <w:tc>
          <w:tcPr>
            <w:tcW w:w="2155" w:type="dxa"/>
            <w:tcBorders/>
          </w:tcPr>
          <w:p>
            <w:pPr>
              <w:pStyle w:val="style4098"/>
              <w:spacing w:before="5"/>
              <w:rPr>
                <w:sz w:val="28"/>
              </w:rPr>
            </w:pPr>
          </w:p>
          <w:p>
            <w:pPr>
              <w:pStyle w:val="style4098"/>
              <w:numPr>
                <w:ilvl w:val="0"/>
                <w:numId w:val="4"/>
              </w:numPr>
              <w:tabs>
                <w:tab w:val="left" w:leader="none" w:pos="319"/>
              </w:tabs>
              <w:spacing w:before="1" w:after="0" w:lineRule="auto" w:line="240"/>
              <w:ind w:left="319" w:right="0" w:hanging="212"/>
              <w:jc w:val="left"/>
              <w:rPr>
                <w:sz w:val="21"/>
              </w:rPr>
            </w:pPr>
            <w:r>
              <w:rPr>
                <w:spacing w:val="-2"/>
                <w:sz w:val="21"/>
              </w:rPr>
              <w:t>武装力量</w:t>
            </w:r>
          </w:p>
        </w:tc>
        <w:tc>
          <w:tcPr>
            <w:tcW w:w="2693" w:type="dxa"/>
            <w:tcBorders/>
          </w:tcPr>
          <w:p>
            <w:pPr>
              <w:pStyle w:val="style4098"/>
              <w:spacing w:before="13" w:lineRule="atLeast" w:line="310"/>
              <w:ind w:left="105" w:right="54"/>
              <w:jc w:val="both"/>
              <w:rPr>
                <w:sz w:val="21"/>
              </w:rPr>
            </w:pPr>
            <w:r>
              <w:rPr>
                <w:sz w:val="21"/>
              </w:rPr>
              <w:t>中国武装力量性质、宗旨、使命及武装力量构成，人民军队的发展历程</w:t>
            </w:r>
          </w:p>
        </w:tc>
        <w:tc>
          <w:tcPr>
            <w:tcW w:w="1983" w:type="dxa"/>
            <w:vMerge w:val="continue"/>
            <w:tcBorders>
              <w:top w:val="nil"/>
            </w:tcBorders>
          </w:tcPr>
          <w:p>
            <w:pPr>
              <w:pStyle w:val="style0"/>
              <w:rPr>
                <w:sz w:val="2"/>
                <w:szCs w:val="2"/>
              </w:rPr>
            </w:pPr>
          </w:p>
        </w:tc>
        <w:tc>
          <w:tcPr>
            <w:tcW w:w="819" w:type="dxa"/>
            <w:vMerge w:val="continue"/>
            <w:tcBorders>
              <w:top w:val="nil"/>
            </w:tcBorders>
          </w:tcPr>
          <w:p>
            <w:pPr>
              <w:pStyle w:val="style0"/>
              <w:rPr>
                <w:sz w:val="2"/>
                <w:szCs w:val="2"/>
              </w:rPr>
            </w:pPr>
          </w:p>
        </w:tc>
        <w:tc>
          <w:tcPr>
            <w:tcW w:w="872" w:type="dxa"/>
            <w:vMerge w:val="continue"/>
            <w:tcBorders>
              <w:top w:val="nil"/>
              <w:right w:val="nil"/>
            </w:tcBorders>
          </w:tcPr>
          <w:p>
            <w:pPr>
              <w:pStyle w:val="style0"/>
              <w:rPr>
                <w:sz w:val="2"/>
                <w:szCs w:val="2"/>
              </w:rPr>
            </w:pPr>
          </w:p>
        </w:tc>
      </w:tr>
      <w:tr>
        <w:tblPrEx/>
        <w:trPr>
          <w:trHeight w:val="626" w:hRule="atLeast"/>
        </w:trPr>
        <w:tc>
          <w:tcPr>
            <w:tcW w:w="648" w:type="dxa"/>
            <w:vMerge w:val="continue"/>
            <w:tcBorders>
              <w:top w:val="nil"/>
              <w:left w:val="nil"/>
            </w:tcBorders>
          </w:tcPr>
          <w:p>
            <w:pPr>
              <w:pStyle w:val="style0"/>
              <w:rPr>
                <w:sz w:val="2"/>
                <w:szCs w:val="2"/>
              </w:rPr>
            </w:pPr>
          </w:p>
        </w:tc>
        <w:tc>
          <w:tcPr>
            <w:tcW w:w="2155" w:type="dxa"/>
            <w:tcBorders/>
          </w:tcPr>
          <w:p>
            <w:pPr>
              <w:pStyle w:val="style4098"/>
              <w:numPr>
                <w:ilvl w:val="0"/>
                <w:numId w:val="5"/>
              </w:numPr>
              <w:tabs>
                <w:tab w:val="left" w:leader="none" w:pos="319"/>
              </w:tabs>
              <w:spacing w:before="180" w:after="0" w:lineRule="auto" w:line="240"/>
              <w:ind w:left="319" w:right="0" w:hanging="212"/>
              <w:jc w:val="left"/>
              <w:rPr>
                <w:sz w:val="21"/>
              </w:rPr>
            </w:pPr>
            <w:r>
              <w:rPr>
                <w:spacing w:val="-2"/>
                <w:sz w:val="21"/>
              </w:rPr>
              <w:t>国防动员</w:t>
            </w:r>
          </w:p>
        </w:tc>
        <w:tc>
          <w:tcPr>
            <w:tcW w:w="2693" w:type="dxa"/>
            <w:tcBorders/>
          </w:tcPr>
          <w:p>
            <w:pPr>
              <w:pStyle w:val="style4098"/>
              <w:spacing w:before="25"/>
              <w:ind w:left="105"/>
              <w:rPr>
                <w:sz w:val="21"/>
              </w:rPr>
            </w:pPr>
            <w:r>
              <w:rPr>
                <w:sz w:val="21"/>
              </w:rPr>
              <w:t>国防动员内涵、国防动员主</w:t>
            </w:r>
          </w:p>
          <w:p>
            <w:pPr>
              <w:pStyle w:val="style4098"/>
              <w:spacing w:before="43"/>
              <w:ind w:left="105"/>
              <w:rPr>
                <w:sz w:val="21"/>
              </w:rPr>
            </w:pPr>
            <w:r>
              <w:rPr>
                <w:sz w:val="21"/>
              </w:rPr>
              <w:t>要内容及意义</w:t>
            </w:r>
          </w:p>
        </w:tc>
        <w:tc>
          <w:tcPr>
            <w:tcW w:w="1983" w:type="dxa"/>
            <w:vMerge w:val="continue"/>
            <w:tcBorders>
              <w:top w:val="nil"/>
            </w:tcBorders>
          </w:tcPr>
          <w:p>
            <w:pPr>
              <w:pStyle w:val="style0"/>
              <w:rPr>
                <w:sz w:val="2"/>
                <w:szCs w:val="2"/>
              </w:rPr>
            </w:pPr>
          </w:p>
        </w:tc>
        <w:tc>
          <w:tcPr>
            <w:tcW w:w="819" w:type="dxa"/>
            <w:vMerge w:val="continue"/>
            <w:tcBorders>
              <w:top w:val="nil"/>
            </w:tcBorders>
          </w:tcPr>
          <w:p>
            <w:pPr>
              <w:pStyle w:val="style0"/>
              <w:rPr>
                <w:sz w:val="2"/>
                <w:szCs w:val="2"/>
              </w:rPr>
            </w:pPr>
          </w:p>
        </w:tc>
        <w:tc>
          <w:tcPr>
            <w:tcW w:w="872" w:type="dxa"/>
            <w:vMerge w:val="continue"/>
            <w:tcBorders>
              <w:top w:val="nil"/>
              <w:right w:val="nil"/>
            </w:tcBorders>
          </w:tcPr>
          <w:p>
            <w:pPr>
              <w:pStyle w:val="style0"/>
              <w:rPr>
                <w:sz w:val="2"/>
                <w:szCs w:val="2"/>
              </w:rPr>
            </w:pPr>
          </w:p>
        </w:tc>
      </w:tr>
    </w:tbl>
    <w:p>
      <w:pPr>
        <w:pStyle w:val="style0"/>
        <w:spacing w:after="0"/>
        <w:rPr>
          <w:sz w:val="2"/>
          <w:szCs w:val="2"/>
        </w:rPr>
        <w:sectPr>
          <w:pgSz w:w="11910" w:h="16840" w:orient="portrait"/>
          <w:pgMar w:top="1500" w:right="920" w:bottom="1540" w:left="1440" w:header="0" w:footer="1341" w:gutter="0"/>
        </w:sectPr>
      </w:pPr>
    </w:p>
    <w:tbl>
      <w:tblPr>
        <w:tblStyle w:val="style105"/>
        <w:tblW w:w="9170" w:type="dxa"/>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Pr>
      <w:tblGrid>
        <w:gridCol w:w="648"/>
        <w:gridCol w:w="2155"/>
        <w:gridCol w:w="2693"/>
        <w:gridCol w:w="1983"/>
        <w:gridCol w:w="819"/>
        <w:gridCol w:w="872"/>
      </w:tblGrid>
      <w:tr>
        <w:trPr>
          <w:trHeight w:val="839" w:hRule="atLeast"/>
        </w:trPr>
        <w:tc>
          <w:tcPr>
            <w:tcW w:w="648" w:type="dxa"/>
            <w:vMerge w:val="restart"/>
            <w:tcBorders>
              <w:left w:val="nil"/>
            </w:tcBorders>
          </w:tcPr>
          <w:p>
            <w:pPr>
              <w:pStyle w:val="style4098"/>
              <w:rPr>
                <w:sz w:val="20"/>
              </w:rPr>
            </w:pPr>
          </w:p>
          <w:p>
            <w:pPr>
              <w:pStyle w:val="style4098"/>
              <w:rPr>
                <w:sz w:val="20"/>
              </w:rPr>
            </w:pPr>
          </w:p>
          <w:p>
            <w:pPr>
              <w:pStyle w:val="style4098"/>
              <w:rPr>
                <w:sz w:val="20"/>
              </w:rPr>
            </w:pPr>
          </w:p>
          <w:p>
            <w:pPr>
              <w:pStyle w:val="style4098"/>
              <w:spacing w:before="1"/>
              <w:rPr>
                <w:sz w:val="21"/>
              </w:rPr>
            </w:pPr>
          </w:p>
          <w:p>
            <w:pPr>
              <w:pStyle w:val="style4098"/>
              <w:spacing w:lineRule="auto" w:line="213"/>
              <w:ind w:left="112" w:right="96"/>
              <w:rPr>
                <w:sz w:val="21"/>
              </w:rPr>
            </w:pPr>
            <w:r>
              <w:rPr>
                <w:sz w:val="21"/>
              </w:rPr>
              <w:t>国家安全</w:t>
            </w:r>
          </w:p>
        </w:tc>
        <w:tc>
          <w:tcPr>
            <w:tcW w:w="2155" w:type="dxa"/>
            <w:tcBorders/>
          </w:tcPr>
          <w:p>
            <w:pPr>
              <w:pStyle w:val="style4098"/>
              <w:spacing w:before="12"/>
              <w:rPr>
                <w:sz w:val="21"/>
              </w:rPr>
            </w:pPr>
          </w:p>
          <w:p>
            <w:pPr>
              <w:pStyle w:val="style4098"/>
              <w:ind w:left="319"/>
              <w:rPr>
                <w:sz w:val="21"/>
              </w:rPr>
            </w:pPr>
            <w:r>
              <w:rPr>
                <w:sz w:val="21"/>
              </w:rPr>
              <w:t>国家安全概述</w:t>
            </w:r>
          </w:p>
        </w:tc>
        <w:tc>
          <w:tcPr>
            <w:tcW w:w="2693" w:type="dxa"/>
            <w:tcBorders/>
          </w:tcPr>
          <w:p>
            <w:pPr>
              <w:pStyle w:val="style4098"/>
              <w:spacing w:before="5"/>
              <w:rPr>
                <w:sz w:val="14"/>
              </w:rPr>
            </w:pPr>
          </w:p>
          <w:p>
            <w:pPr>
              <w:pStyle w:val="style4098"/>
              <w:spacing w:lineRule="auto" w:line="213"/>
              <w:ind w:left="105" w:right="37"/>
              <w:rPr>
                <w:sz w:val="21"/>
              </w:rPr>
            </w:pPr>
            <w:r>
              <w:rPr>
                <w:sz w:val="21"/>
              </w:rPr>
              <w:t>国家安全的内涵、原则、总体安全观</w:t>
            </w:r>
          </w:p>
        </w:tc>
        <w:tc>
          <w:tcPr>
            <w:tcW w:w="1983" w:type="dxa"/>
            <w:vMerge w:val="restart"/>
            <w:tcBorders/>
          </w:tcPr>
          <w:p>
            <w:pPr>
              <w:pStyle w:val="style4098"/>
              <w:spacing w:before="79" w:lineRule="auto" w:line="213"/>
              <w:ind w:left="105" w:right="94"/>
              <w:jc w:val="both"/>
              <w:rPr>
                <w:sz w:val="21"/>
              </w:rPr>
            </w:pPr>
            <w:r>
              <w:rPr>
                <w:sz w:val="21"/>
              </w:rPr>
              <w:t>正确把握和认识国家安全的内涵，理解我国总体国家安全观，提升学生防间保密意识；深刻认识当前我国面临的安全形势。了解世界主要国家军事力量及战略动向， 增强学生忧患意识</w:t>
            </w:r>
          </w:p>
        </w:tc>
        <w:tc>
          <w:tcPr>
            <w:tcW w:w="819" w:type="dxa"/>
            <w:vMerge w:val="restart"/>
            <w:tcBorders/>
          </w:tcPr>
          <w:p>
            <w:pPr>
              <w:pStyle w:val="style4098"/>
              <w:rPr>
                <w:sz w:val="22"/>
              </w:rPr>
            </w:pPr>
          </w:p>
          <w:p>
            <w:pPr>
              <w:pStyle w:val="style4098"/>
              <w:rPr>
                <w:sz w:val="22"/>
              </w:rPr>
            </w:pPr>
          </w:p>
          <w:p>
            <w:pPr>
              <w:pStyle w:val="style4098"/>
              <w:rPr>
                <w:sz w:val="22"/>
              </w:rPr>
            </w:pPr>
          </w:p>
          <w:p>
            <w:pPr>
              <w:pStyle w:val="style4098"/>
              <w:spacing w:before="9"/>
              <w:rPr>
                <w:sz w:val="23"/>
              </w:rPr>
            </w:pPr>
          </w:p>
          <w:p>
            <w:pPr>
              <w:pStyle w:val="style4098"/>
              <w:spacing w:before="1"/>
              <w:ind w:left="5"/>
              <w:jc w:val="center"/>
              <w:rPr>
                <w:rFonts w:ascii="Times New Roman"/>
                <w:sz w:val="21"/>
              </w:rPr>
            </w:pPr>
            <w:r>
              <w:rPr>
                <w:rFonts w:ascii="Times New Roman"/>
                <w:w w:val="100"/>
                <w:sz w:val="21"/>
              </w:rPr>
              <w:t>8</w:t>
            </w:r>
          </w:p>
        </w:tc>
        <w:tc>
          <w:tcPr>
            <w:tcW w:w="872" w:type="dxa"/>
            <w:vMerge w:val="restart"/>
            <w:tcBorders>
              <w:right w:val="nil"/>
            </w:tcBorders>
          </w:tcPr>
          <w:p>
            <w:pPr>
              <w:pStyle w:val="style4098"/>
              <w:rPr>
                <w:rFonts w:ascii="Times New Roman"/>
                <w:sz w:val="20"/>
              </w:rPr>
            </w:pPr>
          </w:p>
        </w:tc>
      </w:tr>
      <w:tr>
        <w:tblPrEx/>
        <w:trPr>
          <w:trHeight w:val="837" w:hRule="atLeast"/>
        </w:trPr>
        <w:tc>
          <w:tcPr>
            <w:tcW w:w="648" w:type="dxa"/>
            <w:vMerge w:val="continue"/>
            <w:tcBorders>
              <w:top w:val="nil"/>
              <w:left w:val="nil"/>
            </w:tcBorders>
          </w:tcPr>
          <w:p>
            <w:pPr>
              <w:pStyle w:val="style0"/>
              <w:rPr>
                <w:sz w:val="2"/>
                <w:szCs w:val="2"/>
              </w:rPr>
            </w:pPr>
          </w:p>
        </w:tc>
        <w:tc>
          <w:tcPr>
            <w:tcW w:w="2155" w:type="dxa"/>
            <w:tcBorders/>
          </w:tcPr>
          <w:p>
            <w:pPr>
              <w:pStyle w:val="style4098"/>
              <w:spacing w:before="11"/>
              <w:rPr>
                <w:sz w:val="21"/>
              </w:rPr>
            </w:pPr>
          </w:p>
          <w:p>
            <w:pPr>
              <w:pStyle w:val="style4098"/>
              <w:numPr>
                <w:ilvl w:val="0"/>
                <w:numId w:val="6"/>
              </w:numPr>
              <w:tabs>
                <w:tab w:val="left" w:leader="none" w:pos="319"/>
              </w:tabs>
              <w:spacing w:before="0" w:after="0" w:lineRule="auto" w:line="240"/>
              <w:ind w:left="319" w:right="0" w:hanging="212"/>
              <w:jc w:val="left"/>
              <w:rPr>
                <w:sz w:val="21"/>
              </w:rPr>
            </w:pPr>
            <w:r>
              <w:rPr>
                <w:spacing w:val="-3"/>
                <w:sz w:val="21"/>
              </w:rPr>
              <w:t>国家安全形势</w:t>
            </w:r>
          </w:p>
        </w:tc>
        <w:tc>
          <w:tcPr>
            <w:tcW w:w="2693" w:type="dxa"/>
            <w:tcBorders/>
          </w:tcPr>
          <w:p>
            <w:pPr>
              <w:pStyle w:val="style4098"/>
              <w:spacing w:before="65" w:lineRule="auto" w:line="213"/>
              <w:ind w:left="105" w:right="96"/>
              <w:jc w:val="both"/>
              <w:rPr>
                <w:sz w:val="21"/>
              </w:rPr>
            </w:pPr>
            <w:r>
              <w:rPr>
                <w:spacing w:val="-8"/>
                <w:sz w:val="21"/>
              </w:rPr>
              <w:t>我国地缘环境基本概况、地</w:t>
            </w:r>
            <w:r>
              <w:rPr>
                <w:spacing w:val="-9"/>
                <w:sz w:val="21"/>
              </w:rPr>
              <w:t>缘安全、新形势下的国家安</w:t>
            </w:r>
            <w:r>
              <w:rPr>
                <w:spacing w:val="-3"/>
                <w:sz w:val="21"/>
              </w:rPr>
              <w:t>全、新兴领域的国家安全</w:t>
            </w:r>
          </w:p>
        </w:tc>
        <w:tc>
          <w:tcPr>
            <w:tcW w:w="1983" w:type="dxa"/>
            <w:vMerge w:val="continue"/>
            <w:tcBorders>
              <w:top w:val="nil"/>
            </w:tcBorders>
          </w:tcPr>
          <w:p>
            <w:pPr>
              <w:pStyle w:val="style0"/>
              <w:rPr>
                <w:sz w:val="2"/>
                <w:szCs w:val="2"/>
              </w:rPr>
            </w:pPr>
          </w:p>
        </w:tc>
        <w:tc>
          <w:tcPr>
            <w:tcW w:w="819" w:type="dxa"/>
            <w:vMerge w:val="continue"/>
            <w:tcBorders>
              <w:top w:val="nil"/>
            </w:tcBorders>
          </w:tcPr>
          <w:p>
            <w:pPr>
              <w:pStyle w:val="style0"/>
              <w:rPr>
                <w:sz w:val="2"/>
                <w:szCs w:val="2"/>
              </w:rPr>
            </w:pPr>
          </w:p>
        </w:tc>
        <w:tc>
          <w:tcPr>
            <w:tcW w:w="872" w:type="dxa"/>
            <w:vMerge w:val="continue"/>
            <w:tcBorders>
              <w:top w:val="nil"/>
              <w:right w:val="nil"/>
            </w:tcBorders>
          </w:tcPr>
          <w:p>
            <w:pPr>
              <w:pStyle w:val="style0"/>
              <w:rPr>
                <w:sz w:val="2"/>
                <w:szCs w:val="2"/>
              </w:rPr>
            </w:pPr>
          </w:p>
        </w:tc>
      </w:tr>
      <w:tr>
        <w:tblPrEx/>
        <w:trPr>
          <w:trHeight w:val="851" w:hRule="atLeast"/>
        </w:trPr>
        <w:tc>
          <w:tcPr>
            <w:tcW w:w="648" w:type="dxa"/>
            <w:vMerge w:val="continue"/>
            <w:tcBorders>
              <w:top w:val="nil"/>
              <w:left w:val="nil"/>
            </w:tcBorders>
          </w:tcPr>
          <w:p>
            <w:pPr>
              <w:pStyle w:val="style0"/>
              <w:rPr>
                <w:sz w:val="2"/>
                <w:szCs w:val="2"/>
              </w:rPr>
            </w:pPr>
          </w:p>
        </w:tc>
        <w:tc>
          <w:tcPr>
            <w:tcW w:w="2155" w:type="dxa"/>
            <w:tcBorders/>
          </w:tcPr>
          <w:p>
            <w:pPr>
              <w:pStyle w:val="style4098"/>
              <w:numPr>
                <w:ilvl w:val="0"/>
                <w:numId w:val="7"/>
              </w:numPr>
              <w:tabs>
                <w:tab w:val="left" w:leader="none" w:pos="319"/>
              </w:tabs>
              <w:spacing w:before="168" w:after="0" w:lineRule="auto" w:line="240"/>
              <w:ind w:left="319" w:right="0" w:hanging="212"/>
              <w:jc w:val="left"/>
              <w:rPr>
                <w:sz w:val="21"/>
              </w:rPr>
            </w:pPr>
            <w:r>
              <w:rPr>
                <w:spacing w:val="-3"/>
                <w:sz w:val="21"/>
              </w:rPr>
              <w:t>国际战略形势</w:t>
            </w:r>
          </w:p>
        </w:tc>
        <w:tc>
          <w:tcPr>
            <w:tcW w:w="2693" w:type="dxa"/>
            <w:tcBorders/>
          </w:tcPr>
          <w:p>
            <w:pPr>
              <w:pStyle w:val="style4098"/>
              <w:spacing w:before="72" w:lineRule="auto" w:line="213"/>
              <w:ind w:left="105" w:right="96"/>
              <w:jc w:val="both"/>
              <w:rPr>
                <w:sz w:val="21"/>
              </w:rPr>
            </w:pPr>
            <w:r>
              <w:rPr>
                <w:spacing w:val="11"/>
                <w:sz w:val="21"/>
              </w:rPr>
              <w:t>国际战略形势现状与发展</w:t>
            </w:r>
            <w:r>
              <w:rPr>
                <w:spacing w:val="-9"/>
                <w:sz w:val="21"/>
              </w:rPr>
              <w:t>趋势、世界主要国家军事力</w:t>
            </w:r>
            <w:r>
              <w:rPr>
                <w:spacing w:val="-2"/>
                <w:sz w:val="21"/>
              </w:rPr>
              <w:t>量及战略动向</w:t>
            </w:r>
          </w:p>
        </w:tc>
        <w:tc>
          <w:tcPr>
            <w:tcW w:w="1983" w:type="dxa"/>
            <w:vMerge w:val="continue"/>
            <w:tcBorders>
              <w:top w:val="nil"/>
            </w:tcBorders>
          </w:tcPr>
          <w:p>
            <w:pPr>
              <w:pStyle w:val="style0"/>
              <w:rPr>
                <w:sz w:val="2"/>
                <w:szCs w:val="2"/>
              </w:rPr>
            </w:pPr>
          </w:p>
        </w:tc>
        <w:tc>
          <w:tcPr>
            <w:tcW w:w="819" w:type="dxa"/>
            <w:vMerge w:val="continue"/>
            <w:tcBorders>
              <w:top w:val="nil"/>
            </w:tcBorders>
          </w:tcPr>
          <w:p>
            <w:pPr>
              <w:pStyle w:val="style0"/>
              <w:rPr>
                <w:sz w:val="2"/>
                <w:szCs w:val="2"/>
              </w:rPr>
            </w:pPr>
          </w:p>
        </w:tc>
        <w:tc>
          <w:tcPr>
            <w:tcW w:w="872" w:type="dxa"/>
            <w:vMerge w:val="continue"/>
            <w:tcBorders>
              <w:top w:val="nil"/>
              <w:right w:val="nil"/>
            </w:tcBorders>
          </w:tcPr>
          <w:p>
            <w:pPr>
              <w:pStyle w:val="style0"/>
              <w:rPr>
                <w:sz w:val="2"/>
                <w:szCs w:val="2"/>
              </w:rPr>
            </w:pPr>
          </w:p>
        </w:tc>
      </w:tr>
      <w:tr>
        <w:tblPrEx/>
        <w:trPr>
          <w:trHeight w:val="750" w:hRule="atLeast"/>
        </w:trPr>
        <w:tc>
          <w:tcPr>
            <w:tcW w:w="648" w:type="dxa"/>
            <w:vMerge w:val="restart"/>
            <w:tcBorders>
              <w:left w:val="nil"/>
            </w:tcBorders>
          </w:tcPr>
          <w:p>
            <w:pPr>
              <w:pStyle w:val="style4098"/>
              <w:rPr>
                <w:sz w:val="20"/>
              </w:rPr>
            </w:pPr>
          </w:p>
          <w:p>
            <w:pPr>
              <w:pStyle w:val="style4098"/>
              <w:rPr>
                <w:sz w:val="20"/>
              </w:rPr>
            </w:pPr>
          </w:p>
          <w:p>
            <w:pPr>
              <w:pStyle w:val="style4098"/>
              <w:rPr>
                <w:sz w:val="20"/>
              </w:rPr>
            </w:pPr>
          </w:p>
          <w:p>
            <w:pPr>
              <w:pStyle w:val="style4098"/>
              <w:rPr>
                <w:sz w:val="20"/>
              </w:rPr>
            </w:pPr>
          </w:p>
          <w:p>
            <w:pPr>
              <w:pStyle w:val="style4098"/>
              <w:rPr>
                <w:sz w:val="20"/>
              </w:rPr>
            </w:pPr>
          </w:p>
          <w:p>
            <w:pPr>
              <w:pStyle w:val="style4098"/>
              <w:spacing w:before="12"/>
              <w:rPr>
                <w:sz w:val="24"/>
              </w:rPr>
            </w:pPr>
          </w:p>
          <w:p>
            <w:pPr>
              <w:pStyle w:val="style4098"/>
              <w:spacing w:lineRule="auto" w:line="213"/>
              <w:ind w:left="112" w:right="96"/>
              <w:rPr>
                <w:sz w:val="21"/>
              </w:rPr>
            </w:pPr>
            <w:r>
              <w:rPr>
                <w:sz w:val="21"/>
              </w:rPr>
              <w:t>军事思想</w:t>
            </w:r>
          </w:p>
        </w:tc>
        <w:tc>
          <w:tcPr>
            <w:tcW w:w="2155" w:type="dxa"/>
            <w:tcBorders/>
          </w:tcPr>
          <w:p>
            <w:pPr>
              <w:pStyle w:val="style4098"/>
              <w:spacing w:before="7"/>
              <w:rPr>
                <w:sz w:val="18"/>
              </w:rPr>
            </w:pPr>
          </w:p>
          <w:p>
            <w:pPr>
              <w:pStyle w:val="style4098"/>
              <w:spacing w:before="1"/>
              <w:ind w:left="319"/>
              <w:rPr>
                <w:sz w:val="21"/>
              </w:rPr>
            </w:pPr>
            <w:r>
              <w:rPr>
                <w:sz w:val="21"/>
              </w:rPr>
              <w:t>军事思想概述</w:t>
            </w:r>
          </w:p>
        </w:tc>
        <w:tc>
          <w:tcPr>
            <w:tcW w:w="2693" w:type="dxa"/>
            <w:tcBorders/>
          </w:tcPr>
          <w:p>
            <w:pPr>
              <w:pStyle w:val="style4098"/>
              <w:spacing w:before="141" w:lineRule="auto" w:line="213"/>
              <w:ind w:left="105" w:right="37"/>
              <w:rPr>
                <w:sz w:val="21"/>
              </w:rPr>
            </w:pPr>
            <w:r>
              <w:rPr>
                <w:sz w:val="21"/>
              </w:rPr>
              <w:t>军事思想的内涵、发展历程以及地位作用</w:t>
            </w:r>
          </w:p>
        </w:tc>
        <w:tc>
          <w:tcPr>
            <w:tcW w:w="1983" w:type="dxa"/>
            <w:vMerge w:val="restart"/>
            <w:tcBorders/>
          </w:tcPr>
          <w:p>
            <w:pPr>
              <w:pStyle w:val="style4098"/>
              <w:rPr>
                <w:sz w:val="20"/>
              </w:rPr>
            </w:pPr>
          </w:p>
          <w:p>
            <w:pPr>
              <w:pStyle w:val="style4098"/>
              <w:spacing w:before="144" w:lineRule="auto" w:line="213"/>
              <w:ind w:left="105" w:right="94"/>
              <w:jc w:val="both"/>
              <w:rPr>
                <w:sz w:val="21"/>
              </w:rPr>
            </w:pPr>
            <w:r>
              <w:rPr>
                <w:sz w:val="21"/>
              </w:rPr>
              <w:t>了解军事思想的内涵和形成与发展历程，了解外国代表性军事思想，熟悉我国军事思想的主要内容、地位作用和现实意义，理解习近平强军思想的科学含义和主要内容，使学生树立科学的战争观和方法论</w:t>
            </w:r>
          </w:p>
        </w:tc>
        <w:tc>
          <w:tcPr>
            <w:tcW w:w="819" w:type="dxa"/>
            <w:vMerge w:val="restart"/>
            <w:tcBorders/>
          </w:tcPr>
          <w:p>
            <w:pPr>
              <w:pStyle w:val="style4098"/>
              <w:rPr>
                <w:sz w:val="22"/>
              </w:rPr>
            </w:pPr>
          </w:p>
          <w:p>
            <w:pPr>
              <w:pStyle w:val="style4098"/>
              <w:rPr>
                <w:sz w:val="22"/>
              </w:rPr>
            </w:pPr>
          </w:p>
          <w:p>
            <w:pPr>
              <w:pStyle w:val="style4098"/>
              <w:rPr>
                <w:sz w:val="22"/>
              </w:rPr>
            </w:pPr>
          </w:p>
          <w:p>
            <w:pPr>
              <w:pStyle w:val="style4098"/>
              <w:rPr>
                <w:sz w:val="22"/>
              </w:rPr>
            </w:pPr>
          </w:p>
          <w:p>
            <w:pPr>
              <w:pStyle w:val="style4098"/>
              <w:rPr>
                <w:sz w:val="22"/>
              </w:rPr>
            </w:pPr>
          </w:p>
          <w:p>
            <w:pPr>
              <w:pStyle w:val="style4098"/>
              <w:spacing w:before="7"/>
              <w:rPr>
                <w:sz w:val="23"/>
              </w:rPr>
            </w:pPr>
          </w:p>
          <w:p>
            <w:pPr>
              <w:pStyle w:val="style4098"/>
              <w:ind w:left="5"/>
              <w:jc w:val="center"/>
              <w:rPr>
                <w:rFonts w:ascii="Times New Roman"/>
                <w:sz w:val="21"/>
              </w:rPr>
            </w:pPr>
            <w:r>
              <w:rPr>
                <w:rFonts w:ascii="Times New Roman"/>
                <w:w w:val="100"/>
                <w:sz w:val="21"/>
              </w:rPr>
              <w:t>6</w:t>
            </w:r>
          </w:p>
        </w:tc>
        <w:tc>
          <w:tcPr>
            <w:tcW w:w="872" w:type="dxa"/>
            <w:vMerge w:val="restart"/>
            <w:tcBorders>
              <w:right w:val="nil"/>
            </w:tcBorders>
          </w:tcPr>
          <w:p>
            <w:pPr>
              <w:pStyle w:val="style4098"/>
              <w:rPr>
                <w:rFonts w:ascii="Times New Roman"/>
                <w:sz w:val="20"/>
              </w:rPr>
            </w:pPr>
          </w:p>
        </w:tc>
      </w:tr>
      <w:tr>
        <w:tblPrEx/>
        <w:trPr>
          <w:trHeight w:val="693" w:hRule="atLeast"/>
        </w:trPr>
        <w:tc>
          <w:tcPr>
            <w:tcW w:w="648" w:type="dxa"/>
            <w:vMerge w:val="continue"/>
            <w:tcBorders>
              <w:top w:val="nil"/>
              <w:left w:val="nil"/>
            </w:tcBorders>
          </w:tcPr>
          <w:p>
            <w:pPr>
              <w:pStyle w:val="style0"/>
              <w:rPr>
                <w:sz w:val="2"/>
                <w:szCs w:val="2"/>
              </w:rPr>
            </w:pPr>
          </w:p>
        </w:tc>
        <w:tc>
          <w:tcPr>
            <w:tcW w:w="2155" w:type="dxa"/>
            <w:tcBorders/>
          </w:tcPr>
          <w:p>
            <w:pPr>
              <w:pStyle w:val="style4098"/>
              <w:spacing w:before="4"/>
              <w:rPr>
                <w:sz w:val="16"/>
              </w:rPr>
            </w:pPr>
          </w:p>
          <w:p>
            <w:pPr>
              <w:pStyle w:val="style4098"/>
              <w:ind w:left="319"/>
              <w:rPr>
                <w:sz w:val="21"/>
              </w:rPr>
            </w:pPr>
            <w:r>
              <w:rPr>
                <w:sz w:val="21"/>
              </w:rPr>
              <w:t>外国军事思想</w:t>
            </w:r>
          </w:p>
        </w:tc>
        <w:tc>
          <w:tcPr>
            <w:tcW w:w="2693" w:type="dxa"/>
            <w:tcBorders/>
          </w:tcPr>
          <w:p>
            <w:pPr>
              <w:pStyle w:val="style4098"/>
              <w:spacing w:before="113" w:lineRule="auto" w:line="213"/>
              <w:ind w:left="105" w:right="54"/>
              <w:rPr>
                <w:sz w:val="21"/>
              </w:rPr>
            </w:pPr>
            <w:r>
              <w:rPr>
                <w:sz w:val="21"/>
              </w:rPr>
              <w:t>外国军事思想的主要内容、特点以及代表性著作</w:t>
            </w:r>
          </w:p>
        </w:tc>
        <w:tc>
          <w:tcPr>
            <w:tcW w:w="1983" w:type="dxa"/>
            <w:vMerge w:val="continue"/>
            <w:tcBorders>
              <w:top w:val="nil"/>
            </w:tcBorders>
          </w:tcPr>
          <w:p>
            <w:pPr>
              <w:pStyle w:val="style0"/>
              <w:rPr>
                <w:sz w:val="2"/>
                <w:szCs w:val="2"/>
              </w:rPr>
            </w:pPr>
          </w:p>
        </w:tc>
        <w:tc>
          <w:tcPr>
            <w:tcW w:w="819" w:type="dxa"/>
            <w:vMerge w:val="continue"/>
            <w:tcBorders>
              <w:top w:val="nil"/>
            </w:tcBorders>
          </w:tcPr>
          <w:p>
            <w:pPr>
              <w:pStyle w:val="style0"/>
              <w:rPr>
                <w:sz w:val="2"/>
                <w:szCs w:val="2"/>
              </w:rPr>
            </w:pPr>
          </w:p>
        </w:tc>
        <w:tc>
          <w:tcPr>
            <w:tcW w:w="872" w:type="dxa"/>
            <w:vMerge w:val="continue"/>
            <w:tcBorders>
              <w:top w:val="nil"/>
              <w:right w:val="nil"/>
            </w:tcBorders>
          </w:tcPr>
          <w:p>
            <w:pPr>
              <w:pStyle w:val="style0"/>
              <w:rPr>
                <w:sz w:val="2"/>
                <w:szCs w:val="2"/>
              </w:rPr>
            </w:pPr>
          </w:p>
        </w:tc>
      </w:tr>
      <w:tr>
        <w:tblPrEx/>
        <w:trPr>
          <w:trHeight w:val="830" w:hRule="atLeast"/>
        </w:trPr>
        <w:tc>
          <w:tcPr>
            <w:tcW w:w="648" w:type="dxa"/>
            <w:vMerge w:val="continue"/>
            <w:tcBorders>
              <w:top w:val="nil"/>
              <w:left w:val="nil"/>
            </w:tcBorders>
          </w:tcPr>
          <w:p>
            <w:pPr>
              <w:pStyle w:val="style0"/>
              <w:rPr>
                <w:sz w:val="2"/>
                <w:szCs w:val="2"/>
              </w:rPr>
            </w:pPr>
          </w:p>
        </w:tc>
        <w:tc>
          <w:tcPr>
            <w:tcW w:w="2155" w:type="dxa"/>
            <w:tcBorders/>
          </w:tcPr>
          <w:p>
            <w:pPr>
              <w:pStyle w:val="style4098"/>
              <w:spacing w:before="6"/>
              <w:rPr>
                <w:sz w:val="21"/>
              </w:rPr>
            </w:pPr>
          </w:p>
          <w:p>
            <w:pPr>
              <w:pStyle w:val="style4098"/>
              <w:numPr>
                <w:ilvl w:val="0"/>
                <w:numId w:val="8"/>
              </w:numPr>
              <w:tabs>
                <w:tab w:val="left" w:leader="none" w:pos="319"/>
              </w:tabs>
              <w:spacing w:before="1" w:after="0" w:lineRule="auto" w:line="240"/>
              <w:ind w:left="319" w:right="0" w:hanging="212"/>
              <w:jc w:val="left"/>
              <w:rPr>
                <w:sz w:val="21"/>
              </w:rPr>
            </w:pPr>
            <w:r>
              <w:rPr>
                <w:spacing w:val="-3"/>
                <w:sz w:val="21"/>
              </w:rPr>
              <w:t>中国古代军事思想</w:t>
            </w:r>
          </w:p>
        </w:tc>
        <w:tc>
          <w:tcPr>
            <w:tcW w:w="2693" w:type="dxa"/>
            <w:tcBorders/>
          </w:tcPr>
          <w:p>
            <w:pPr>
              <w:pStyle w:val="style4098"/>
              <w:rPr>
                <w:sz w:val="14"/>
              </w:rPr>
            </w:pPr>
          </w:p>
          <w:p>
            <w:pPr>
              <w:pStyle w:val="style4098"/>
              <w:spacing w:lineRule="auto" w:line="213"/>
              <w:ind w:left="105" w:right="37"/>
              <w:rPr>
                <w:sz w:val="21"/>
              </w:rPr>
            </w:pPr>
            <w:r>
              <w:rPr>
                <w:sz w:val="21"/>
              </w:rPr>
              <w:t>中国古代军事思想的主要内容、特点以及代表性著作</w:t>
            </w:r>
          </w:p>
        </w:tc>
        <w:tc>
          <w:tcPr>
            <w:tcW w:w="1983" w:type="dxa"/>
            <w:vMerge w:val="continue"/>
            <w:tcBorders>
              <w:top w:val="nil"/>
            </w:tcBorders>
          </w:tcPr>
          <w:p>
            <w:pPr>
              <w:pStyle w:val="style0"/>
              <w:rPr>
                <w:sz w:val="2"/>
                <w:szCs w:val="2"/>
              </w:rPr>
            </w:pPr>
          </w:p>
        </w:tc>
        <w:tc>
          <w:tcPr>
            <w:tcW w:w="819" w:type="dxa"/>
            <w:vMerge w:val="continue"/>
            <w:tcBorders>
              <w:top w:val="nil"/>
            </w:tcBorders>
          </w:tcPr>
          <w:p>
            <w:pPr>
              <w:pStyle w:val="style0"/>
              <w:rPr>
                <w:sz w:val="2"/>
                <w:szCs w:val="2"/>
              </w:rPr>
            </w:pPr>
          </w:p>
        </w:tc>
        <w:tc>
          <w:tcPr>
            <w:tcW w:w="872" w:type="dxa"/>
            <w:vMerge w:val="continue"/>
            <w:tcBorders>
              <w:top w:val="nil"/>
              <w:right w:val="nil"/>
            </w:tcBorders>
          </w:tcPr>
          <w:p>
            <w:pPr>
              <w:pStyle w:val="style0"/>
              <w:rPr>
                <w:sz w:val="2"/>
                <w:szCs w:val="2"/>
              </w:rPr>
            </w:pPr>
          </w:p>
        </w:tc>
      </w:tr>
      <w:tr>
        <w:tblPrEx/>
        <w:trPr>
          <w:trHeight w:val="1367" w:hRule="atLeast"/>
        </w:trPr>
        <w:tc>
          <w:tcPr>
            <w:tcW w:w="648" w:type="dxa"/>
            <w:vMerge w:val="continue"/>
            <w:tcBorders>
              <w:top w:val="nil"/>
              <w:left w:val="nil"/>
            </w:tcBorders>
          </w:tcPr>
          <w:p>
            <w:pPr>
              <w:pStyle w:val="style0"/>
              <w:rPr>
                <w:sz w:val="2"/>
                <w:szCs w:val="2"/>
              </w:rPr>
            </w:pPr>
          </w:p>
        </w:tc>
        <w:tc>
          <w:tcPr>
            <w:tcW w:w="2155" w:type="dxa"/>
            <w:tcBorders/>
          </w:tcPr>
          <w:p>
            <w:pPr>
              <w:pStyle w:val="style4098"/>
              <w:rPr>
                <w:sz w:val="26"/>
              </w:rPr>
            </w:pPr>
          </w:p>
          <w:p>
            <w:pPr>
              <w:pStyle w:val="style4098"/>
              <w:numPr>
                <w:ilvl w:val="0"/>
                <w:numId w:val="9"/>
              </w:numPr>
              <w:tabs>
                <w:tab w:val="left" w:leader="none" w:pos="319"/>
              </w:tabs>
              <w:spacing w:before="211" w:after="0" w:lineRule="auto" w:line="240"/>
              <w:ind w:left="319" w:right="0" w:hanging="212"/>
              <w:jc w:val="left"/>
              <w:rPr>
                <w:sz w:val="21"/>
              </w:rPr>
            </w:pPr>
            <w:r>
              <w:rPr>
                <w:spacing w:val="-3"/>
                <w:sz w:val="21"/>
              </w:rPr>
              <w:t>当代中国军事思想</w:t>
            </w:r>
          </w:p>
        </w:tc>
        <w:tc>
          <w:tcPr>
            <w:tcW w:w="2693" w:type="dxa"/>
            <w:tcBorders/>
          </w:tcPr>
          <w:p>
            <w:pPr>
              <w:pStyle w:val="style4098"/>
              <w:spacing w:before="89" w:lineRule="auto" w:line="213"/>
              <w:ind w:left="105" w:right="96"/>
              <w:jc w:val="both"/>
              <w:rPr>
                <w:sz w:val="21"/>
              </w:rPr>
            </w:pPr>
            <w:r>
              <w:rPr>
                <w:spacing w:val="-10"/>
                <w:sz w:val="21"/>
              </w:rPr>
              <w:t>毛泽东军事思想、邓小平新</w:t>
            </w:r>
            <w:r>
              <w:rPr>
                <w:spacing w:val="-9"/>
                <w:sz w:val="21"/>
              </w:rPr>
              <w:t>时期军队建设思想、江泽民</w:t>
            </w:r>
            <w:r>
              <w:rPr>
                <w:spacing w:val="-8"/>
                <w:sz w:val="21"/>
              </w:rPr>
              <w:t>论国防和军队建设思想、胡</w:t>
            </w:r>
            <w:r>
              <w:rPr>
                <w:spacing w:val="11"/>
                <w:sz w:val="21"/>
              </w:rPr>
              <w:t>锦涛关于国防和军队建设</w:t>
            </w:r>
            <w:r>
              <w:rPr>
                <w:spacing w:val="-9"/>
                <w:sz w:val="21"/>
              </w:rPr>
              <w:t>重要论述、习近平强军思想</w:t>
            </w:r>
          </w:p>
        </w:tc>
        <w:tc>
          <w:tcPr>
            <w:tcW w:w="1983" w:type="dxa"/>
            <w:vMerge w:val="continue"/>
            <w:tcBorders>
              <w:top w:val="nil"/>
            </w:tcBorders>
          </w:tcPr>
          <w:p>
            <w:pPr>
              <w:pStyle w:val="style0"/>
              <w:rPr>
                <w:sz w:val="2"/>
                <w:szCs w:val="2"/>
              </w:rPr>
            </w:pPr>
          </w:p>
        </w:tc>
        <w:tc>
          <w:tcPr>
            <w:tcW w:w="819" w:type="dxa"/>
            <w:vMerge w:val="continue"/>
            <w:tcBorders>
              <w:top w:val="nil"/>
            </w:tcBorders>
          </w:tcPr>
          <w:p>
            <w:pPr>
              <w:pStyle w:val="style0"/>
              <w:rPr>
                <w:sz w:val="2"/>
                <w:szCs w:val="2"/>
              </w:rPr>
            </w:pPr>
          </w:p>
        </w:tc>
        <w:tc>
          <w:tcPr>
            <w:tcW w:w="872" w:type="dxa"/>
            <w:vMerge w:val="continue"/>
            <w:tcBorders>
              <w:top w:val="nil"/>
              <w:right w:val="nil"/>
            </w:tcBorders>
          </w:tcPr>
          <w:p>
            <w:pPr>
              <w:pStyle w:val="style0"/>
              <w:rPr>
                <w:sz w:val="2"/>
                <w:szCs w:val="2"/>
              </w:rPr>
            </w:pPr>
          </w:p>
        </w:tc>
      </w:tr>
      <w:tr>
        <w:tblPrEx/>
        <w:trPr>
          <w:trHeight w:val="698" w:hRule="atLeast"/>
        </w:trPr>
        <w:tc>
          <w:tcPr>
            <w:tcW w:w="648" w:type="dxa"/>
            <w:vMerge w:val="restart"/>
            <w:tcBorders>
              <w:left w:val="nil"/>
            </w:tcBorders>
          </w:tcPr>
          <w:p>
            <w:pPr>
              <w:pStyle w:val="style4098"/>
              <w:rPr>
                <w:sz w:val="20"/>
              </w:rPr>
            </w:pPr>
          </w:p>
          <w:p>
            <w:pPr>
              <w:pStyle w:val="style4098"/>
              <w:rPr>
                <w:sz w:val="20"/>
              </w:rPr>
            </w:pPr>
          </w:p>
          <w:p>
            <w:pPr>
              <w:pStyle w:val="style4098"/>
              <w:rPr>
                <w:sz w:val="20"/>
              </w:rPr>
            </w:pPr>
          </w:p>
          <w:p>
            <w:pPr>
              <w:pStyle w:val="style4098"/>
              <w:rPr>
                <w:sz w:val="20"/>
              </w:rPr>
            </w:pPr>
          </w:p>
          <w:p>
            <w:pPr>
              <w:pStyle w:val="style4098"/>
              <w:spacing w:before="10"/>
              <w:rPr>
                <w:sz w:val="28"/>
              </w:rPr>
            </w:pPr>
          </w:p>
          <w:p>
            <w:pPr>
              <w:pStyle w:val="style4098"/>
              <w:spacing w:lineRule="auto" w:line="213"/>
              <w:ind w:left="117" w:right="102"/>
              <w:rPr>
                <w:sz w:val="21"/>
              </w:rPr>
            </w:pPr>
            <w:r>
              <w:rPr>
                <w:sz w:val="21"/>
              </w:rPr>
              <w:t>现代战争</w:t>
            </w:r>
          </w:p>
        </w:tc>
        <w:tc>
          <w:tcPr>
            <w:tcW w:w="2155" w:type="dxa"/>
            <w:tcBorders/>
          </w:tcPr>
          <w:p>
            <w:pPr>
              <w:pStyle w:val="style4098"/>
              <w:spacing w:before="7"/>
              <w:rPr>
                <w:sz w:val="16"/>
              </w:rPr>
            </w:pPr>
          </w:p>
          <w:p>
            <w:pPr>
              <w:pStyle w:val="style4098"/>
              <w:ind w:left="319"/>
              <w:rPr>
                <w:sz w:val="21"/>
              </w:rPr>
            </w:pPr>
            <w:r>
              <w:rPr>
                <w:sz w:val="21"/>
              </w:rPr>
              <w:t>战争概述</w:t>
            </w:r>
          </w:p>
        </w:tc>
        <w:tc>
          <w:tcPr>
            <w:tcW w:w="2693" w:type="dxa"/>
            <w:tcBorders/>
          </w:tcPr>
          <w:p>
            <w:pPr>
              <w:pStyle w:val="style4098"/>
              <w:spacing w:before="115" w:lineRule="auto" w:line="213"/>
              <w:ind w:left="105" w:right="37"/>
              <w:rPr>
                <w:sz w:val="21"/>
              </w:rPr>
            </w:pPr>
            <w:r>
              <w:rPr>
                <w:sz w:val="21"/>
              </w:rPr>
              <w:t>战争的内涵、特点、发展的历程</w:t>
            </w:r>
          </w:p>
        </w:tc>
        <w:tc>
          <w:tcPr>
            <w:tcW w:w="1983" w:type="dxa"/>
            <w:vMerge w:val="restart"/>
            <w:tcBorders/>
          </w:tcPr>
          <w:p>
            <w:pPr>
              <w:pStyle w:val="style4098"/>
              <w:spacing w:before="7"/>
              <w:rPr>
                <w:sz w:val="24"/>
              </w:rPr>
            </w:pPr>
          </w:p>
          <w:p>
            <w:pPr>
              <w:pStyle w:val="style4098"/>
              <w:spacing w:lineRule="auto" w:line="213"/>
              <w:ind w:left="105" w:right="94"/>
              <w:jc w:val="both"/>
              <w:rPr>
                <w:sz w:val="21"/>
              </w:rPr>
            </w:pPr>
            <w:r>
              <w:rPr>
                <w:sz w:val="21"/>
              </w:rPr>
              <w:t>了解战争内涵、特点、发展历程，理解新军事革命的内涵和发展演变，掌握机械化战争、信息化战争的形成、主要形态、特征、代表性战例和发展趋势，使学生树立打赢信息化战争的信心</w:t>
            </w:r>
          </w:p>
        </w:tc>
        <w:tc>
          <w:tcPr>
            <w:tcW w:w="819" w:type="dxa"/>
            <w:vMerge w:val="restart"/>
            <w:tcBorders/>
          </w:tcPr>
          <w:p>
            <w:pPr>
              <w:pStyle w:val="style4098"/>
              <w:rPr>
                <w:sz w:val="22"/>
              </w:rPr>
            </w:pPr>
          </w:p>
          <w:p>
            <w:pPr>
              <w:pStyle w:val="style4098"/>
              <w:rPr>
                <w:sz w:val="22"/>
              </w:rPr>
            </w:pPr>
          </w:p>
          <w:p>
            <w:pPr>
              <w:pStyle w:val="style4098"/>
              <w:rPr>
                <w:sz w:val="22"/>
              </w:rPr>
            </w:pPr>
          </w:p>
          <w:p>
            <w:pPr>
              <w:pStyle w:val="style4098"/>
              <w:rPr>
                <w:sz w:val="22"/>
              </w:rPr>
            </w:pPr>
          </w:p>
          <w:p>
            <w:pPr>
              <w:pStyle w:val="style4098"/>
              <w:spacing w:before="6"/>
              <w:rPr>
                <w:sz w:val="29"/>
              </w:rPr>
            </w:pPr>
          </w:p>
          <w:p>
            <w:pPr>
              <w:pStyle w:val="style4098"/>
              <w:ind w:left="5"/>
              <w:jc w:val="center"/>
              <w:rPr>
                <w:rFonts w:ascii="Times New Roman"/>
                <w:sz w:val="21"/>
              </w:rPr>
            </w:pPr>
            <w:r>
              <w:rPr>
                <w:rFonts w:ascii="Times New Roman"/>
                <w:w w:val="100"/>
                <w:sz w:val="21"/>
              </w:rPr>
              <w:t>6</w:t>
            </w:r>
          </w:p>
        </w:tc>
        <w:tc>
          <w:tcPr>
            <w:tcW w:w="872" w:type="dxa"/>
            <w:vMerge w:val="restart"/>
            <w:tcBorders>
              <w:right w:val="nil"/>
            </w:tcBorders>
          </w:tcPr>
          <w:p>
            <w:pPr>
              <w:pStyle w:val="style4098"/>
              <w:rPr>
                <w:rFonts w:ascii="Times New Roman"/>
                <w:sz w:val="20"/>
              </w:rPr>
            </w:pPr>
          </w:p>
        </w:tc>
      </w:tr>
      <w:tr>
        <w:tblPrEx/>
        <w:trPr>
          <w:trHeight w:val="762" w:hRule="atLeast"/>
        </w:trPr>
        <w:tc>
          <w:tcPr>
            <w:tcW w:w="648" w:type="dxa"/>
            <w:vMerge w:val="continue"/>
            <w:tcBorders>
              <w:top w:val="nil"/>
              <w:left w:val="nil"/>
            </w:tcBorders>
          </w:tcPr>
          <w:p>
            <w:pPr>
              <w:pStyle w:val="style0"/>
              <w:rPr>
                <w:sz w:val="2"/>
                <w:szCs w:val="2"/>
              </w:rPr>
            </w:pPr>
          </w:p>
        </w:tc>
        <w:tc>
          <w:tcPr>
            <w:tcW w:w="2155" w:type="dxa"/>
            <w:tcBorders/>
          </w:tcPr>
          <w:p>
            <w:pPr>
              <w:pStyle w:val="style4098"/>
              <w:spacing w:before="1"/>
              <w:rPr>
                <w:sz w:val="19"/>
              </w:rPr>
            </w:pPr>
          </w:p>
          <w:p>
            <w:pPr>
              <w:pStyle w:val="style4098"/>
              <w:numPr>
                <w:ilvl w:val="0"/>
                <w:numId w:val="10"/>
              </w:numPr>
              <w:tabs>
                <w:tab w:val="left" w:leader="none" w:pos="319"/>
              </w:tabs>
              <w:spacing w:before="0" w:after="0" w:lineRule="auto" w:line="240"/>
              <w:ind w:left="319" w:right="0" w:hanging="212"/>
              <w:jc w:val="left"/>
              <w:rPr>
                <w:sz w:val="21"/>
              </w:rPr>
            </w:pPr>
            <w:r>
              <w:rPr>
                <w:spacing w:val="-3"/>
                <w:sz w:val="21"/>
              </w:rPr>
              <w:t>新军事革命</w:t>
            </w:r>
          </w:p>
        </w:tc>
        <w:tc>
          <w:tcPr>
            <w:tcW w:w="2693" w:type="dxa"/>
            <w:tcBorders/>
          </w:tcPr>
          <w:p>
            <w:pPr>
              <w:pStyle w:val="style4098"/>
              <w:spacing w:before="149" w:lineRule="auto" w:line="213"/>
              <w:ind w:left="105" w:right="37"/>
              <w:rPr>
                <w:sz w:val="21"/>
              </w:rPr>
            </w:pPr>
            <w:r>
              <w:rPr>
                <w:sz w:val="21"/>
              </w:rPr>
              <w:t>新军事革命的内涵、发展演变、主要内容</w:t>
            </w:r>
          </w:p>
        </w:tc>
        <w:tc>
          <w:tcPr>
            <w:tcW w:w="1983" w:type="dxa"/>
            <w:vMerge w:val="continue"/>
            <w:tcBorders>
              <w:top w:val="nil"/>
            </w:tcBorders>
          </w:tcPr>
          <w:p>
            <w:pPr>
              <w:pStyle w:val="style0"/>
              <w:rPr>
                <w:sz w:val="2"/>
                <w:szCs w:val="2"/>
              </w:rPr>
            </w:pPr>
          </w:p>
        </w:tc>
        <w:tc>
          <w:tcPr>
            <w:tcW w:w="819" w:type="dxa"/>
            <w:vMerge w:val="continue"/>
            <w:tcBorders>
              <w:top w:val="nil"/>
            </w:tcBorders>
          </w:tcPr>
          <w:p>
            <w:pPr>
              <w:pStyle w:val="style0"/>
              <w:rPr>
                <w:sz w:val="2"/>
                <w:szCs w:val="2"/>
              </w:rPr>
            </w:pPr>
          </w:p>
        </w:tc>
        <w:tc>
          <w:tcPr>
            <w:tcW w:w="872" w:type="dxa"/>
            <w:vMerge w:val="continue"/>
            <w:tcBorders>
              <w:top w:val="nil"/>
              <w:right w:val="nil"/>
            </w:tcBorders>
          </w:tcPr>
          <w:p>
            <w:pPr>
              <w:pStyle w:val="style0"/>
              <w:rPr>
                <w:sz w:val="2"/>
                <w:szCs w:val="2"/>
              </w:rPr>
            </w:pPr>
          </w:p>
        </w:tc>
      </w:tr>
      <w:tr>
        <w:tblPrEx/>
        <w:trPr>
          <w:trHeight w:val="877" w:hRule="atLeast"/>
        </w:trPr>
        <w:tc>
          <w:tcPr>
            <w:tcW w:w="648" w:type="dxa"/>
            <w:vMerge w:val="continue"/>
            <w:tcBorders>
              <w:top w:val="nil"/>
              <w:left w:val="nil"/>
            </w:tcBorders>
          </w:tcPr>
          <w:p>
            <w:pPr>
              <w:pStyle w:val="style0"/>
              <w:rPr>
                <w:sz w:val="2"/>
                <w:szCs w:val="2"/>
              </w:rPr>
            </w:pPr>
          </w:p>
        </w:tc>
        <w:tc>
          <w:tcPr>
            <w:tcW w:w="2155" w:type="dxa"/>
            <w:tcBorders/>
          </w:tcPr>
          <w:p>
            <w:pPr>
              <w:pStyle w:val="style4098"/>
              <w:spacing w:before="6"/>
              <w:rPr>
                <w:sz w:val="23"/>
              </w:rPr>
            </w:pPr>
          </w:p>
          <w:p>
            <w:pPr>
              <w:pStyle w:val="style4098"/>
              <w:ind w:left="319"/>
              <w:rPr>
                <w:sz w:val="21"/>
              </w:rPr>
            </w:pPr>
            <w:r>
              <w:rPr>
                <w:sz w:val="21"/>
              </w:rPr>
              <w:t>机械化战争</w:t>
            </w:r>
          </w:p>
        </w:tc>
        <w:tc>
          <w:tcPr>
            <w:tcW w:w="2693" w:type="dxa"/>
            <w:tcBorders/>
          </w:tcPr>
          <w:p>
            <w:pPr>
              <w:pStyle w:val="style4098"/>
              <w:spacing w:before="11"/>
              <w:rPr>
                <w:sz w:val="15"/>
              </w:rPr>
            </w:pPr>
          </w:p>
          <w:p>
            <w:pPr>
              <w:pStyle w:val="style4098"/>
              <w:spacing w:before="1" w:lineRule="auto" w:line="213"/>
              <w:ind w:left="105" w:right="37"/>
              <w:rPr>
                <w:sz w:val="21"/>
              </w:rPr>
            </w:pPr>
            <w:r>
              <w:rPr>
                <w:sz w:val="21"/>
              </w:rPr>
              <w:t>机械化战争的基本内涵、主要形态、特征和代表性战例</w:t>
            </w:r>
          </w:p>
        </w:tc>
        <w:tc>
          <w:tcPr>
            <w:tcW w:w="1983" w:type="dxa"/>
            <w:vMerge w:val="continue"/>
            <w:tcBorders>
              <w:top w:val="nil"/>
            </w:tcBorders>
          </w:tcPr>
          <w:p>
            <w:pPr>
              <w:pStyle w:val="style0"/>
              <w:rPr>
                <w:sz w:val="2"/>
                <w:szCs w:val="2"/>
              </w:rPr>
            </w:pPr>
          </w:p>
        </w:tc>
        <w:tc>
          <w:tcPr>
            <w:tcW w:w="819" w:type="dxa"/>
            <w:vMerge w:val="continue"/>
            <w:tcBorders>
              <w:top w:val="nil"/>
            </w:tcBorders>
          </w:tcPr>
          <w:p>
            <w:pPr>
              <w:pStyle w:val="style0"/>
              <w:rPr>
                <w:sz w:val="2"/>
                <w:szCs w:val="2"/>
              </w:rPr>
            </w:pPr>
          </w:p>
        </w:tc>
        <w:tc>
          <w:tcPr>
            <w:tcW w:w="872" w:type="dxa"/>
            <w:vMerge w:val="continue"/>
            <w:tcBorders>
              <w:top w:val="nil"/>
              <w:right w:val="nil"/>
            </w:tcBorders>
          </w:tcPr>
          <w:p>
            <w:pPr>
              <w:pStyle w:val="style0"/>
              <w:rPr>
                <w:sz w:val="2"/>
                <w:szCs w:val="2"/>
              </w:rPr>
            </w:pPr>
          </w:p>
        </w:tc>
      </w:tr>
      <w:tr>
        <w:tblPrEx/>
        <w:trPr>
          <w:trHeight w:val="887" w:hRule="atLeast"/>
        </w:trPr>
        <w:tc>
          <w:tcPr>
            <w:tcW w:w="648" w:type="dxa"/>
            <w:vMerge w:val="continue"/>
            <w:tcBorders>
              <w:top w:val="nil"/>
              <w:left w:val="nil"/>
            </w:tcBorders>
          </w:tcPr>
          <w:p>
            <w:pPr>
              <w:pStyle w:val="style0"/>
              <w:rPr>
                <w:sz w:val="2"/>
                <w:szCs w:val="2"/>
              </w:rPr>
            </w:pPr>
          </w:p>
        </w:tc>
        <w:tc>
          <w:tcPr>
            <w:tcW w:w="2155" w:type="dxa"/>
            <w:tcBorders/>
          </w:tcPr>
          <w:p>
            <w:pPr>
              <w:pStyle w:val="style4098"/>
              <w:spacing w:before="9"/>
              <w:rPr>
                <w:sz w:val="23"/>
              </w:rPr>
            </w:pPr>
          </w:p>
          <w:p>
            <w:pPr>
              <w:pStyle w:val="style4098"/>
              <w:numPr>
                <w:ilvl w:val="0"/>
                <w:numId w:val="11"/>
              </w:numPr>
              <w:tabs>
                <w:tab w:val="left" w:leader="none" w:pos="319"/>
              </w:tabs>
              <w:spacing w:before="1" w:after="0" w:lineRule="auto" w:line="240"/>
              <w:ind w:left="319" w:right="0" w:hanging="212"/>
              <w:jc w:val="left"/>
              <w:rPr>
                <w:sz w:val="21"/>
              </w:rPr>
            </w:pPr>
            <w:r>
              <w:rPr>
                <w:spacing w:val="-3"/>
                <w:sz w:val="21"/>
              </w:rPr>
              <w:t>信息化战争</w:t>
            </w:r>
          </w:p>
        </w:tc>
        <w:tc>
          <w:tcPr>
            <w:tcW w:w="2693" w:type="dxa"/>
            <w:tcBorders/>
          </w:tcPr>
          <w:p>
            <w:pPr>
              <w:pStyle w:val="style4098"/>
              <w:spacing w:before="89" w:lineRule="auto" w:line="213"/>
              <w:ind w:left="105" w:right="-15"/>
              <w:rPr>
                <w:sz w:val="21"/>
              </w:rPr>
            </w:pPr>
            <w:r>
              <w:rPr>
                <w:spacing w:val="-7"/>
                <w:sz w:val="21"/>
              </w:rPr>
              <w:t>信息化战争的基本内涵、主</w:t>
            </w:r>
            <w:r>
              <w:rPr>
                <w:spacing w:val="-16"/>
                <w:sz w:val="21"/>
              </w:rPr>
              <w:t xml:space="preserve">要形态、特征、代表性战例， </w:t>
            </w:r>
            <w:r>
              <w:rPr>
                <w:spacing w:val="-7"/>
                <w:sz w:val="21"/>
              </w:rPr>
              <w:t>战争形态发展趋势</w:t>
            </w:r>
          </w:p>
        </w:tc>
        <w:tc>
          <w:tcPr>
            <w:tcW w:w="1983" w:type="dxa"/>
            <w:vMerge w:val="continue"/>
            <w:tcBorders>
              <w:top w:val="nil"/>
            </w:tcBorders>
          </w:tcPr>
          <w:p>
            <w:pPr>
              <w:pStyle w:val="style0"/>
              <w:rPr>
                <w:sz w:val="2"/>
                <w:szCs w:val="2"/>
              </w:rPr>
            </w:pPr>
          </w:p>
        </w:tc>
        <w:tc>
          <w:tcPr>
            <w:tcW w:w="819" w:type="dxa"/>
            <w:vMerge w:val="continue"/>
            <w:tcBorders>
              <w:top w:val="nil"/>
            </w:tcBorders>
          </w:tcPr>
          <w:p>
            <w:pPr>
              <w:pStyle w:val="style0"/>
              <w:rPr>
                <w:sz w:val="2"/>
                <w:szCs w:val="2"/>
              </w:rPr>
            </w:pPr>
          </w:p>
        </w:tc>
        <w:tc>
          <w:tcPr>
            <w:tcW w:w="872" w:type="dxa"/>
            <w:vMerge w:val="continue"/>
            <w:tcBorders>
              <w:top w:val="nil"/>
              <w:right w:val="nil"/>
            </w:tcBorders>
          </w:tcPr>
          <w:p>
            <w:pPr>
              <w:pStyle w:val="style0"/>
              <w:rPr>
                <w:sz w:val="2"/>
                <w:szCs w:val="2"/>
              </w:rPr>
            </w:pPr>
          </w:p>
        </w:tc>
      </w:tr>
      <w:tr>
        <w:tblPrEx/>
        <w:trPr>
          <w:trHeight w:val="973" w:hRule="atLeast"/>
        </w:trPr>
        <w:tc>
          <w:tcPr>
            <w:tcW w:w="648" w:type="dxa"/>
            <w:vMerge w:val="restart"/>
            <w:tcBorders>
              <w:left w:val="nil"/>
            </w:tcBorders>
          </w:tcPr>
          <w:p>
            <w:pPr>
              <w:pStyle w:val="style4098"/>
              <w:rPr>
                <w:sz w:val="20"/>
              </w:rPr>
            </w:pPr>
          </w:p>
          <w:p>
            <w:pPr>
              <w:pStyle w:val="style4098"/>
              <w:rPr>
                <w:sz w:val="20"/>
              </w:rPr>
            </w:pPr>
          </w:p>
          <w:p>
            <w:pPr>
              <w:pStyle w:val="style4098"/>
              <w:rPr>
                <w:sz w:val="20"/>
              </w:rPr>
            </w:pPr>
          </w:p>
          <w:p>
            <w:pPr>
              <w:pStyle w:val="style4098"/>
              <w:rPr>
                <w:sz w:val="20"/>
              </w:rPr>
            </w:pPr>
          </w:p>
          <w:p>
            <w:pPr>
              <w:pStyle w:val="style4098"/>
              <w:rPr>
                <w:sz w:val="20"/>
              </w:rPr>
            </w:pPr>
          </w:p>
          <w:p>
            <w:pPr>
              <w:pStyle w:val="style4098"/>
              <w:rPr>
                <w:sz w:val="24"/>
              </w:rPr>
            </w:pPr>
          </w:p>
          <w:p>
            <w:pPr>
              <w:pStyle w:val="style4098"/>
              <w:spacing w:lineRule="auto" w:line="213"/>
              <w:ind w:left="117" w:right="102"/>
              <w:jc w:val="both"/>
              <w:rPr>
                <w:sz w:val="21"/>
              </w:rPr>
            </w:pPr>
            <w:r>
              <w:rPr>
                <w:sz w:val="21"/>
              </w:rPr>
              <w:t>信息化装备</w:t>
            </w:r>
          </w:p>
        </w:tc>
        <w:tc>
          <w:tcPr>
            <w:tcW w:w="2155" w:type="dxa"/>
            <w:tcBorders/>
          </w:tcPr>
          <w:p>
            <w:pPr>
              <w:pStyle w:val="style4098"/>
              <w:spacing w:before="3"/>
              <w:rPr>
                <w:sz w:val="27"/>
              </w:rPr>
            </w:pPr>
          </w:p>
          <w:p>
            <w:pPr>
              <w:pStyle w:val="style4098"/>
              <w:ind w:left="319"/>
              <w:rPr>
                <w:sz w:val="21"/>
              </w:rPr>
            </w:pPr>
            <w:r>
              <w:rPr>
                <w:sz w:val="21"/>
              </w:rPr>
              <w:t>信息化装备概述</w:t>
            </w:r>
          </w:p>
        </w:tc>
        <w:tc>
          <w:tcPr>
            <w:tcW w:w="2693" w:type="dxa"/>
            <w:tcBorders/>
          </w:tcPr>
          <w:p>
            <w:pPr>
              <w:pStyle w:val="style4098"/>
              <w:spacing w:before="132" w:lineRule="auto" w:line="213"/>
              <w:ind w:left="105" w:right="54"/>
              <w:jc w:val="both"/>
              <w:rPr>
                <w:sz w:val="21"/>
              </w:rPr>
            </w:pPr>
            <w:r>
              <w:rPr>
                <w:sz w:val="21"/>
              </w:rPr>
              <w:t>信息化装备的内涵、分类、对现代作战的影响以及发展趋势</w:t>
            </w:r>
          </w:p>
        </w:tc>
        <w:tc>
          <w:tcPr>
            <w:tcW w:w="1983" w:type="dxa"/>
            <w:vMerge w:val="restart"/>
            <w:tcBorders/>
          </w:tcPr>
          <w:p>
            <w:pPr>
              <w:pStyle w:val="style4098"/>
              <w:rPr>
                <w:sz w:val="20"/>
              </w:rPr>
            </w:pPr>
          </w:p>
          <w:p>
            <w:pPr>
              <w:pStyle w:val="style4098"/>
              <w:rPr>
                <w:sz w:val="20"/>
              </w:rPr>
            </w:pPr>
          </w:p>
          <w:p>
            <w:pPr>
              <w:pStyle w:val="style4098"/>
              <w:spacing w:before="10"/>
              <w:rPr>
                <w:sz w:val="27"/>
              </w:rPr>
            </w:pPr>
          </w:p>
          <w:p>
            <w:pPr>
              <w:pStyle w:val="style4098"/>
              <w:spacing w:lineRule="auto" w:line="213"/>
              <w:ind w:left="105" w:right="94"/>
              <w:jc w:val="both"/>
              <w:rPr>
                <w:sz w:val="21"/>
              </w:rPr>
            </w:pPr>
            <w:r>
              <w:rPr>
                <w:sz w:val="21"/>
              </w:rPr>
              <w:t>了解信息化装备的内涵、分类、发展及对现代作战的影响，熟悉世界主要国家信息化装备的发展情况，激发学生学习高科技的积极性，为国防科研奠定人才基础</w:t>
            </w:r>
          </w:p>
        </w:tc>
        <w:tc>
          <w:tcPr>
            <w:tcW w:w="819" w:type="dxa"/>
            <w:vMerge w:val="restart"/>
            <w:tcBorders/>
          </w:tcPr>
          <w:p>
            <w:pPr>
              <w:pStyle w:val="style4098"/>
              <w:rPr>
                <w:sz w:val="22"/>
              </w:rPr>
            </w:pPr>
          </w:p>
          <w:p>
            <w:pPr>
              <w:pStyle w:val="style4098"/>
              <w:rPr>
                <w:sz w:val="22"/>
              </w:rPr>
            </w:pPr>
          </w:p>
          <w:p>
            <w:pPr>
              <w:pStyle w:val="style4098"/>
              <w:rPr>
                <w:sz w:val="22"/>
              </w:rPr>
            </w:pPr>
          </w:p>
          <w:p>
            <w:pPr>
              <w:pStyle w:val="style4098"/>
              <w:rPr>
                <w:sz w:val="22"/>
              </w:rPr>
            </w:pPr>
          </w:p>
          <w:p>
            <w:pPr>
              <w:pStyle w:val="style4098"/>
              <w:rPr>
                <w:sz w:val="22"/>
              </w:rPr>
            </w:pPr>
          </w:p>
          <w:p>
            <w:pPr>
              <w:pStyle w:val="style4098"/>
              <w:rPr>
                <w:sz w:val="32"/>
              </w:rPr>
            </w:pPr>
          </w:p>
          <w:p>
            <w:pPr>
              <w:pStyle w:val="style4098"/>
              <w:ind w:left="5"/>
              <w:jc w:val="center"/>
              <w:rPr>
                <w:rFonts w:ascii="Times New Roman"/>
                <w:sz w:val="21"/>
              </w:rPr>
            </w:pPr>
            <w:r>
              <w:rPr>
                <w:rFonts w:ascii="Times New Roman"/>
                <w:w w:val="100"/>
                <w:sz w:val="21"/>
              </w:rPr>
              <w:t>6</w:t>
            </w:r>
          </w:p>
        </w:tc>
        <w:tc>
          <w:tcPr>
            <w:tcW w:w="872" w:type="dxa"/>
            <w:vMerge w:val="restart"/>
            <w:tcBorders>
              <w:right w:val="nil"/>
            </w:tcBorders>
          </w:tcPr>
          <w:p>
            <w:pPr>
              <w:pStyle w:val="style4098"/>
              <w:rPr>
                <w:rFonts w:ascii="Times New Roman"/>
                <w:sz w:val="20"/>
              </w:rPr>
            </w:pPr>
          </w:p>
        </w:tc>
      </w:tr>
      <w:tr>
        <w:tblPrEx/>
        <w:trPr>
          <w:trHeight w:val="779" w:hRule="atLeast"/>
        </w:trPr>
        <w:tc>
          <w:tcPr>
            <w:tcW w:w="648" w:type="dxa"/>
            <w:vMerge w:val="continue"/>
            <w:tcBorders>
              <w:top w:val="nil"/>
              <w:left w:val="nil"/>
            </w:tcBorders>
          </w:tcPr>
          <w:p>
            <w:pPr>
              <w:pStyle w:val="style0"/>
              <w:rPr>
                <w:sz w:val="2"/>
                <w:szCs w:val="2"/>
              </w:rPr>
            </w:pPr>
          </w:p>
        </w:tc>
        <w:tc>
          <w:tcPr>
            <w:tcW w:w="2155" w:type="dxa"/>
            <w:tcBorders/>
          </w:tcPr>
          <w:p>
            <w:pPr>
              <w:pStyle w:val="style4098"/>
              <w:spacing w:before="6"/>
              <w:rPr>
                <w:sz w:val="19"/>
              </w:rPr>
            </w:pPr>
          </w:p>
          <w:p>
            <w:pPr>
              <w:pStyle w:val="style4098"/>
              <w:numPr>
                <w:ilvl w:val="0"/>
                <w:numId w:val="12"/>
              </w:numPr>
              <w:tabs>
                <w:tab w:val="left" w:leader="none" w:pos="319"/>
              </w:tabs>
              <w:spacing w:before="0" w:after="0" w:lineRule="auto" w:line="240"/>
              <w:ind w:left="319" w:right="0" w:hanging="212"/>
              <w:jc w:val="left"/>
              <w:rPr>
                <w:sz w:val="21"/>
              </w:rPr>
            </w:pPr>
            <w:r>
              <w:rPr>
                <w:spacing w:val="-3"/>
                <w:sz w:val="21"/>
              </w:rPr>
              <w:t>信息化作战平台</w:t>
            </w:r>
          </w:p>
        </w:tc>
        <w:tc>
          <w:tcPr>
            <w:tcW w:w="2693" w:type="dxa"/>
            <w:tcBorders/>
          </w:tcPr>
          <w:p>
            <w:pPr>
              <w:pStyle w:val="style4098"/>
              <w:spacing w:before="33" w:lineRule="auto" w:line="213"/>
              <w:ind w:left="105" w:right="54"/>
              <w:jc w:val="both"/>
              <w:rPr>
                <w:sz w:val="21"/>
              </w:rPr>
            </w:pPr>
            <w:r>
              <w:rPr>
                <w:sz w:val="21"/>
              </w:rPr>
              <w:t>各国主战飞机、坦克、军舰等信息武器装备发展趋势、战例应用</w:t>
            </w:r>
          </w:p>
        </w:tc>
        <w:tc>
          <w:tcPr>
            <w:tcW w:w="1983" w:type="dxa"/>
            <w:vMerge w:val="continue"/>
            <w:tcBorders>
              <w:top w:val="nil"/>
            </w:tcBorders>
          </w:tcPr>
          <w:p>
            <w:pPr>
              <w:pStyle w:val="style0"/>
              <w:rPr>
                <w:sz w:val="2"/>
                <w:szCs w:val="2"/>
              </w:rPr>
            </w:pPr>
          </w:p>
        </w:tc>
        <w:tc>
          <w:tcPr>
            <w:tcW w:w="819" w:type="dxa"/>
            <w:vMerge w:val="continue"/>
            <w:tcBorders>
              <w:top w:val="nil"/>
            </w:tcBorders>
          </w:tcPr>
          <w:p>
            <w:pPr>
              <w:pStyle w:val="style0"/>
              <w:rPr>
                <w:sz w:val="2"/>
                <w:szCs w:val="2"/>
              </w:rPr>
            </w:pPr>
          </w:p>
        </w:tc>
        <w:tc>
          <w:tcPr>
            <w:tcW w:w="872" w:type="dxa"/>
            <w:vMerge w:val="continue"/>
            <w:tcBorders>
              <w:top w:val="nil"/>
              <w:right w:val="nil"/>
            </w:tcBorders>
          </w:tcPr>
          <w:p>
            <w:pPr>
              <w:pStyle w:val="style0"/>
              <w:rPr>
                <w:sz w:val="2"/>
                <w:szCs w:val="2"/>
              </w:rPr>
            </w:pPr>
          </w:p>
        </w:tc>
      </w:tr>
      <w:tr>
        <w:tblPrEx/>
        <w:trPr>
          <w:trHeight w:val="762" w:hRule="atLeast"/>
        </w:trPr>
        <w:tc>
          <w:tcPr>
            <w:tcW w:w="648" w:type="dxa"/>
            <w:vMerge w:val="continue"/>
            <w:tcBorders>
              <w:top w:val="nil"/>
              <w:left w:val="nil"/>
            </w:tcBorders>
          </w:tcPr>
          <w:p>
            <w:pPr>
              <w:pStyle w:val="style0"/>
              <w:rPr>
                <w:sz w:val="2"/>
                <w:szCs w:val="2"/>
              </w:rPr>
            </w:pPr>
          </w:p>
        </w:tc>
        <w:tc>
          <w:tcPr>
            <w:tcW w:w="2155" w:type="dxa"/>
            <w:tcBorders/>
          </w:tcPr>
          <w:p>
            <w:pPr>
              <w:pStyle w:val="style4098"/>
              <w:spacing w:before="12"/>
              <w:rPr>
                <w:sz w:val="18"/>
              </w:rPr>
            </w:pPr>
          </w:p>
          <w:p>
            <w:pPr>
              <w:pStyle w:val="style4098"/>
              <w:ind w:left="213"/>
              <w:rPr>
                <w:sz w:val="21"/>
              </w:rPr>
            </w:pPr>
            <w:r>
              <w:rPr>
                <w:sz w:val="21"/>
              </w:rPr>
              <w:t>综合电子信息系统</w:t>
            </w:r>
          </w:p>
        </w:tc>
        <w:tc>
          <w:tcPr>
            <w:tcW w:w="2693" w:type="dxa"/>
            <w:tcBorders/>
          </w:tcPr>
          <w:p>
            <w:pPr>
              <w:pStyle w:val="style4098"/>
              <w:spacing w:before="21" w:lineRule="exact" w:line="240"/>
              <w:ind w:left="105" w:right="54"/>
              <w:jc w:val="both"/>
              <w:rPr>
                <w:sz w:val="21"/>
              </w:rPr>
            </w:pPr>
            <w:r>
              <w:rPr>
                <w:sz w:val="21"/>
              </w:rPr>
              <w:t>指挥控制系统、预警系统、导航系统等装备电子信息系统发展趋势、战例应用</w:t>
            </w:r>
          </w:p>
        </w:tc>
        <w:tc>
          <w:tcPr>
            <w:tcW w:w="1983" w:type="dxa"/>
            <w:vMerge w:val="continue"/>
            <w:tcBorders>
              <w:top w:val="nil"/>
            </w:tcBorders>
          </w:tcPr>
          <w:p>
            <w:pPr>
              <w:pStyle w:val="style0"/>
              <w:rPr>
                <w:sz w:val="2"/>
                <w:szCs w:val="2"/>
              </w:rPr>
            </w:pPr>
          </w:p>
        </w:tc>
        <w:tc>
          <w:tcPr>
            <w:tcW w:w="819" w:type="dxa"/>
            <w:vMerge w:val="continue"/>
            <w:tcBorders>
              <w:top w:val="nil"/>
            </w:tcBorders>
          </w:tcPr>
          <w:p>
            <w:pPr>
              <w:pStyle w:val="style0"/>
              <w:rPr>
                <w:sz w:val="2"/>
                <w:szCs w:val="2"/>
              </w:rPr>
            </w:pPr>
          </w:p>
        </w:tc>
        <w:tc>
          <w:tcPr>
            <w:tcW w:w="872" w:type="dxa"/>
            <w:vMerge w:val="continue"/>
            <w:tcBorders>
              <w:top w:val="nil"/>
              <w:right w:val="nil"/>
            </w:tcBorders>
          </w:tcPr>
          <w:p>
            <w:pPr>
              <w:pStyle w:val="style0"/>
              <w:rPr>
                <w:sz w:val="2"/>
                <w:szCs w:val="2"/>
              </w:rPr>
            </w:pPr>
          </w:p>
        </w:tc>
      </w:tr>
      <w:tr>
        <w:tblPrEx/>
        <w:trPr>
          <w:trHeight w:val="1343" w:hRule="atLeast"/>
        </w:trPr>
        <w:tc>
          <w:tcPr>
            <w:tcW w:w="648" w:type="dxa"/>
            <w:vMerge w:val="continue"/>
            <w:tcBorders>
              <w:top w:val="nil"/>
              <w:left w:val="nil"/>
            </w:tcBorders>
          </w:tcPr>
          <w:p>
            <w:pPr>
              <w:pStyle w:val="style0"/>
              <w:rPr>
                <w:sz w:val="2"/>
                <w:szCs w:val="2"/>
              </w:rPr>
            </w:pPr>
          </w:p>
        </w:tc>
        <w:tc>
          <w:tcPr>
            <w:tcW w:w="2155" w:type="dxa"/>
            <w:tcBorders/>
          </w:tcPr>
          <w:p>
            <w:pPr>
              <w:pStyle w:val="style4098"/>
              <w:rPr>
                <w:sz w:val="20"/>
              </w:rPr>
            </w:pPr>
          </w:p>
          <w:p>
            <w:pPr>
              <w:pStyle w:val="style4098"/>
              <w:spacing w:before="8"/>
              <w:rPr>
                <w:sz w:val="21"/>
              </w:rPr>
            </w:pPr>
          </w:p>
          <w:p>
            <w:pPr>
              <w:pStyle w:val="style4098"/>
              <w:ind w:left="213"/>
              <w:rPr>
                <w:sz w:val="21"/>
              </w:rPr>
            </w:pPr>
            <w:r>
              <w:rPr>
                <w:sz w:val="21"/>
              </w:rPr>
              <w:t>信息化杀伤武器</w:t>
            </w:r>
          </w:p>
        </w:tc>
        <w:tc>
          <w:tcPr>
            <w:tcW w:w="2693" w:type="dxa"/>
            <w:tcBorders/>
          </w:tcPr>
          <w:p>
            <w:pPr>
              <w:pStyle w:val="style4098"/>
              <w:spacing w:before="9"/>
              <w:rPr>
                <w:sz w:val="24"/>
              </w:rPr>
            </w:pPr>
          </w:p>
          <w:p>
            <w:pPr>
              <w:pStyle w:val="style4098"/>
              <w:spacing w:lineRule="auto" w:line="204"/>
              <w:ind w:left="105" w:right="98"/>
              <w:jc w:val="both"/>
              <w:rPr>
                <w:sz w:val="22"/>
              </w:rPr>
            </w:pPr>
            <w:r>
              <w:rPr>
                <w:sz w:val="22"/>
              </w:rPr>
              <w:t>新概念、精确制导、核生化武器装备等武器装备发展趋势、战例应用</w:t>
            </w:r>
          </w:p>
        </w:tc>
        <w:tc>
          <w:tcPr>
            <w:tcW w:w="1983" w:type="dxa"/>
            <w:vMerge w:val="continue"/>
            <w:tcBorders>
              <w:top w:val="nil"/>
            </w:tcBorders>
          </w:tcPr>
          <w:p>
            <w:pPr>
              <w:pStyle w:val="style0"/>
              <w:rPr>
                <w:sz w:val="2"/>
                <w:szCs w:val="2"/>
              </w:rPr>
            </w:pPr>
          </w:p>
        </w:tc>
        <w:tc>
          <w:tcPr>
            <w:tcW w:w="819" w:type="dxa"/>
            <w:vMerge w:val="continue"/>
            <w:tcBorders>
              <w:top w:val="nil"/>
            </w:tcBorders>
          </w:tcPr>
          <w:p>
            <w:pPr>
              <w:pStyle w:val="style0"/>
              <w:rPr>
                <w:sz w:val="2"/>
                <w:szCs w:val="2"/>
              </w:rPr>
            </w:pPr>
          </w:p>
        </w:tc>
        <w:tc>
          <w:tcPr>
            <w:tcW w:w="872" w:type="dxa"/>
            <w:vMerge w:val="continue"/>
            <w:tcBorders>
              <w:top w:val="nil"/>
              <w:right w:val="nil"/>
            </w:tcBorders>
          </w:tcPr>
          <w:p>
            <w:pPr>
              <w:pStyle w:val="style0"/>
              <w:rPr>
                <w:sz w:val="2"/>
                <w:szCs w:val="2"/>
              </w:rPr>
            </w:pPr>
          </w:p>
        </w:tc>
      </w:tr>
    </w:tbl>
    <w:p>
      <w:pPr>
        <w:pStyle w:val="style0"/>
        <w:spacing w:before="27"/>
        <w:ind w:left="779" w:right="0" w:firstLine="0"/>
        <w:jc w:val="left"/>
        <w:rPr>
          <w:rFonts w:ascii="楷体" w:eastAsia="楷体" w:hint="eastAsia"/>
          <w:sz w:val="21"/>
        </w:rPr>
      </w:pPr>
      <w:r>
        <w:rPr>
          <w:rFonts w:ascii="楷体" w:eastAsia="楷体" w:hint="eastAsia"/>
          <w:sz w:val="21"/>
        </w:rPr>
        <w:t>注：带</w:t>
      </w:r>
      <w:r>
        <w:rPr>
          <w:rFonts w:ascii="Times New Roman" w:eastAsia="Times New Roman"/>
          <w:sz w:val="21"/>
        </w:rPr>
        <w:t>*</w:t>
      </w:r>
      <w:r>
        <w:rPr>
          <w:rFonts w:ascii="楷体" w:eastAsia="楷体" w:hint="eastAsia"/>
          <w:sz w:val="21"/>
        </w:rPr>
        <w:t>的为必讲课目，其余为选讲课目。</w:t>
      </w:r>
    </w:p>
    <w:p>
      <w:pPr>
        <w:pStyle w:val="style0"/>
        <w:spacing w:after="0"/>
        <w:jc w:val="left"/>
        <w:rPr>
          <w:rFonts w:ascii="楷体" w:eastAsia="楷体" w:hint="eastAsia"/>
          <w:sz w:val="21"/>
        </w:rPr>
        <w:sectPr>
          <w:pgSz w:w="11910" w:h="16840" w:orient="portrait"/>
          <w:pgMar w:top="1420" w:right="920" w:bottom="1540" w:left="1440" w:header="0" w:footer="1341" w:gutter="0"/>
        </w:sectPr>
      </w:pPr>
    </w:p>
    <w:p>
      <w:pPr>
        <w:pStyle w:val="style66"/>
        <w:spacing w:before="29"/>
        <w:ind w:left="673"/>
        <w:rPr/>
      </w:pPr>
      <w:r>
        <w:t>（二）《军事技能》训练内容、教学目标与教学时数</w:t>
      </w:r>
    </w:p>
    <w:p>
      <w:pPr>
        <w:pStyle w:val="style66"/>
        <w:spacing w:before="6"/>
        <w:rPr>
          <w:sz w:val="8"/>
        </w:rPr>
      </w:pPr>
    </w:p>
    <w:tbl>
      <w:tblPr>
        <w:tblStyle w:val="style105"/>
        <w:tblW w:w="9054" w:type="dxa"/>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Pr>
      <w:tblGrid>
        <w:gridCol w:w="643"/>
        <w:gridCol w:w="2105"/>
        <w:gridCol w:w="2755"/>
        <w:gridCol w:w="1985"/>
        <w:gridCol w:w="855"/>
        <w:gridCol w:w="711"/>
      </w:tblGrid>
      <w:tr>
        <w:trPr>
          <w:trHeight w:val="623" w:hRule="atLeast"/>
        </w:trPr>
        <w:tc>
          <w:tcPr>
            <w:tcW w:w="5503" w:type="dxa"/>
            <w:gridSpan w:val="3"/>
            <w:tcBorders>
              <w:left w:val="nil"/>
            </w:tcBorders>
          </w:tcPr>
          <w:p>
            <w:pPr>
              <w:pStyle w:val="style4098"/>
              <w:spacing w:before="178"/>
              <w:ind w:left="2317" w:right="2300"/>
              <w:jc w:val="center"/>
              <w:rPr>
                <w:sz w:val="21"/>
              </w:rPr>
            </w:pPr>
            <w:r>
              <w:rPr>
                <w:sz w:val="21"/>
              </w:rPr>
              <w:t>训练内容</w:t>
            </w:r>
          </w:p>
        </w:tc>
        <w:tc>
          <w:tcPr>
            <w:tcW w:w="1985" w:type="dxa"/>
            <w:tcBorders/>
          </w:tcPr>
          <w:p>
            <w:pPr>
              <w:pStyle w:val="style4098"/>
              <w:spacing w:before="178"/>
              <w:ind w:left="108"/>
              <w:rPr>
                <w:sz w:val="21"/>
              </w:rPr>
            </w:pPr>
            <w:r>
              <w:rPr>
                <w:sz w:val="21"/>
              </w:rPr>
              <w:t>教学目标</w:t>
            </w:r>
          </w:p>
        </w:tc>
        <w:tc>
          <w:tcPr>
            <w:tcW w:w="855" w:type="dxa"/>
            <w:tcBorders/>
          </w:tcPr>
          <w:p>
            <w:pPr>
              <w:pStyle w:val="style4098"/>
              <w:spacing w:before="22"/>
              <w:ind w:left="107"/>
              <w:rPr>
                <w:sz w:val="21"/>
              </w:rPr>
            </w:pPr>
            <w:r>
              <w:rPr>
                <w:sz w:val="21"/>
              </w:rPr>
              <w:t>建议</w:t>
            </w:r>
          </w:p>
          <w:p>
            <w:pPr>
              <w:pStyle w:val="style4098"/>
              <w:spacing w:before="43"/>
              <w:ind w:left="107"/>
              <w:rPr>
                <w:sz w:val="21"/>
              </w:rPr>
            </w:pPr>
            <w:r>
              <w:rPr>
                <w:sz w:val="21"/>
              </w:rPr>
              <w:t>学时</w:t>
            </w:r>
          </w:p>
        </w:tc>
        <w:tc>
          <w:tcPr>
            <w:tcW w:w="711" w:type="dxa"/>
            <w:tcBorders>
              <w:right w:val="nil"/>
            </w:tcBorders>
          </w:tcPr>
          <w:p>
            <w:pPr>
              <w:pStyle w:val="style4098"/>
              <w:spacing w:before="178"/>
              <w:ind w:left="107"/>
              <w:rPr>
                <w:sz w:val="21"/>
              </w:rPr>
            </w:pPr>
            <w:r>
              <w:rPr>
                <w:sz w:val="21"/>
              </w:rPr>
              <w:t>备注</w:t>
            </w:r>
          </w:p>
        </w:tc>
      </w:tr>
      <w:tr>
        <w:tblPrEx/>
        <w:trPr>
          <w:trHeight w:val="717" w:hRule="atLeast"/>
        </w:trPr>
        <w:tc>
          <w:tcPr>
            <w:tcW w:w="643" w:type="dxa"/>
            <w:vMerge w:val="restart"/>
            <w:tcBorders>
              <w:left w:val="nil"/>
            </w:tcBorders>
          </w:tcPr>
          <w:p>
            <w:pPr>
              <w:pStyle w:val="style4098"/>
              <w:rPr>
                <w:sz w:val="20"/>
              </w:rPr>
            </w:pPr>
          </w:p>
          <w:p>
            <w:pPr>
              <w:pStyle w:val="style4098"/>
              <w:rPr>
                <w:sz w:val="20"/>
              </w:rPr>
            </w:pPr>
          </w:p>
          <w:p>
            <w:pPr>
              <w:pStyle w:val="style4098"/>
              <w:spacing w:before="8"/>
              <w:rPr>
                <w:sz w:val="22"/>
              </w:rPr>
            </w:pPr>
          </w:p>
          <w:p>
            <w:pPr>
              <w:pStyle w:val="style4098"/>
              <w:spacing w:lineRule="auto" w:line="278"/>
              <w:ind w:left="115" w:right="98"/>
              <w:jc w:val="both"/>
              <w:rPr>
                <w:sz w:val="21"/>
              </w:rPr>
            </w:pPr>
            <w:r>
              <w:rPr>
                <w:sz w:val="21"/>
              </w:rPr>
              <w:t>共同条令教育与训练</w:t>
            </w:r>
          </w:p>
        </w:tc>
        <w:tc>
          <w:tcPr>
            <w:tcW w:w="2105" w:type="dxa"/>
            <w:tcBorders/>
          </w:tcPr>
          <w:p>
            <w:pPr>
              <w:pStyle w:val="style4098"/>
              <w:numPr>
                <w:ilvl w:val="0"/>
                <w:numId w:val="13"/>
              </w:numPr>
              <w:tabs>
                <w:tab w:val="left" w:leader="none" w:pos="320"/>
              </w:tabs>
              <w:spacing w:before="225" w:after="0" w:lineRule="auto" w:line="240"/>
              <w:ind w:left="319" w:right="0" w:hanging="212"/>
              <w:jc w:val="left"/>
              <w:rPr>
                <w:sz w:val="21"/>
              </w:rPr>
            </w:pPr>
            <w:r>
              <w:rPr>
                <w:spacing w:val="-3"/>
                <w:sz w:val="21"/>
              </w:rPr>
              <w:t>共同条令教育</w:t>
            </w:r>
          </w:p>
        </w:tc>
        <w:tc>
          <w:tcPr>
            <w:tcW w:w="2755" w:type="dxa"/>
            <w:tcBorders/>
          </w:tcPr>
          <w:p>
            <w:pPr>
              <w:pStyle w:val="style4098"/>
              <w:spacing w:before="70"/>
              <w:ind w:left="107"/>
              <w:rPr>
                <w:sz w:val="21"/>
              </w:rPr>
            </w:pPr>
            <w:r>
              <w:rPr>
                <w:sz w:val="21"/>
              </w:rPr>
              <w:t>《内务条令》《纪律条令》</w:t>
            </w:r>
          </w:p>
          <w:p>
            <w:pPr>
              <w:pStyle w:val="style4098"/>
              <w:spacing w:before="43"/>
              <w:ind w:left="107"/>
              <w:rPr>
                <w:sz w:val="21"/>
              </w:rPr>
            </w:pPr>
            <w:r>
              <w:rPr>
                <w:sz w:val="21"/>
              </w:rPr>
              <w:t>《队列条令》教育</w:t>
            </w:r>
          </w:p>
        </w:tc>
        <w:tc>
          <w:tcPr>
            <w:tcW w:w="1985" w:type="dxa"/>
            <w:vMerge w:val="restart"/>
            <w:tcBorders/>
          </w:tcPr>
          <w:p>
            <w:pPr>
              <w:pStyle w:val="style4098"/>
              <w:spacing w:before="22" w:lineRule="auto" w:line="278"/>
              <w:ind w:left="108" w:right="-15"/>
              <w:rPr>
                <w:sz w:val="21"/>
              </w:rPr>
            </w:pPr>
            <w:r>
              <w:rPr>
                <w:spacing w:val="10"/>
                <w:sz w:val="21"/>
              </w:rPr>
              <w:t>了解中国人民解放军三大条令的主要内容，掌握队列动作的基本要领，养</w:t>
            </w:r>
            <w:r>
              <w:rPr>
                <w:spacing w:val="40"/>
                <w:sz w:val="21"/>
              </w:rPr>
              <w:t>成良好的军事素</w:t>
            </w:r>
            <w:r>
              <w:rPr>
                <w:spacing w:val="10"/>
                <w:sz w:val="21"/>
              </w:rPr>
              <w:t>养，增强组织纪律观念，培养学生令</w:t>
            </w:r>
            <w:r>
              <w:rPr>
                <w:spacing w:val="-4"/>
                <w:sz w:val="21"/>
              </w:rPr>
              <w:t>行禁止、团结奋进、</w:t>
            </w:r>
            <w:r>
              <w:rPr>
                <w:spacing w:val="10"/>
                <w:sz w:val="21"/>
              </w:rPr>
              <w:t>顽强拼搏的过硬作</w:t>
            </w:r>
          </w:p>
          <w:p>
            <w:pPr>
              <w:pStyle w:val="style4098"/>
              <w:spacing w:lineRule="exact" w:line="268"/>
              <w:ind w:left="108"/>
              <w:rPr>
                <w:sz w:val="21"/>
              </w:rPr>
            </w:pPr>
            <w:r>
              <w:rPr>
                <w:w w:val="100"/>
                <w:sz w:val="21"/>
              </w:rPr>
              <w:t>风</w:t>
            </w:r>
          </w:p>
        </w:tc>
        <w:tc>
          <w:tcPr>
            <w:tcW w:w="855" w:type="dxa"/>
            <w:vMerge w:val="restart"/>
            <w:tcBorders/>
          </w:tcPr>
          <w:p>
            <w:pPr>
              <w:pStyle w:val="style4098"/>
              <w:rPr>
                <w:sz w:val="22"/>
              </w:rPr>
            </w:pPr>
          </w:p>
          <w:p>
            <w:pPr>
              <w:pStyle w:val="style4098"/>
              <w:rPr>
                <w:sz w:val="22"/>
              </w:rPr>
            </w:pPr>
          </w:p>
          <w:p>
            <w:pPr>
              <w:pStyle w:val="style4098"/>
              <w:rPr>
                <w:sz w:val="22"/>
              </w:rPr>
            </w:pPr>
          </w:p>
          <w:p>
            <w:pPr>
              <w:pStyle w:val="style4098"/>
              <w:rPr>
                <w:sz w:val="22"/>
              </w:rPr>
            </w:pPr>
          </w:p>
          <w:p>
            <w:pPr>
              <w:pStyle w:val="style4098"/>
              <w:spacing w:before="3"/>
              <w:rPr>
                <w:sz w:val="24"/>
              </w:rPr>
            </w:pPr>
          </w:p>
          <w:p>
            <w:pPr>
              <w:pStyle w:val="style4098"/>
              <w:ind w:left="110"/>
              <w:rPr>
                <w:rFonts w:ascii="Times New Roman" w:hAnsi="Times New Roman"/>
                <w:sz w:val="21"/>
              </w:rPr>
            </w:pPr>
            <w:r>
              <w:rPr>
                <w:rFonts w:ascii="Times New Roman" w:hAnsi="Times New Roman"/>
                <w:sz w:val="21"/>
              </w:rPr>
              <w:t>40—56</w:t>
            </w:r>
          </w:p>
        </w:tc>
        <w:tc>
          <w:tcPr>
            <w:tcW w:w="711" w:type="dxa"/>
            <w:vMerge w:val="restart"/>
            <w:tcBorders>
              <w:right w:val="nil"/>
            </w:tcBorders>
          </w:tcPr>
          <w:p>
            <w:pPr>
              <w:pStyle w:val="style4098"/>
              <w:rPr>
                <w:rFonts w:ascii="Times New Roman"/>
                <w:sz w:val="20"/>
              </w:rPr>
            </w:pPr>
          </w:p>
        </w:tc>
      </w:tr>
      <w:tr>
        <w:tblPrEx/>
        <w:trPr>
          <w:trHeight w:val="981" w:hRule="atLeast"/>
        </w:trPr>
        <w:tc>
          <w:tcPr>
            <w:tcW w:w="643" w:type="dxa"/>
            <w:vMerge w:val="continue"/>
            <w:tcBorders>
              <w:top w:val="nil"/>
              <w:left w:val="nil"/>
            </w:tcBorders>
          </w:tcPr>
          <w:p>
            <w:pPr>
              <w:pStyle w:val="style0"/>
              <w:rPr>
                <w:sz w:val="2"/>
                <w:szCs w:val="2"/>
              </w:rPr>
            </w:pPr>
          </w:p>
        </w:tc>
        <w:tc>
          <w:tcPr>
            <w:tcW w:w="2105" w:type="dxa"/>
            <w:tcBorders/>
          </w:tcPr>
          <w:p>
            <w:pPr>
              <w:pStyle w:val="style4098"/>
              <w:spacing w:before="11"/>
              <w:rPr>
                <w:sz w:val="27"/>
              </w:rPr>
            </w:pPr>
          </w:p>
          <w:p>
            <w:pPr>
              <w:pStyle w:val="style4098"/>
              <w:numPr>
                <w:ilvl w:val="0"/>
                <w:numId w:val="14"/>
              </w:numPr>
              <w:tabs>
                <w:tab w:val="left" w:leader="none" w:pos="320"/>
              </w:tabs>
              <w:spacing w:before="0" w:after="0" w:lineRule="auto" w:line="240"/>
              <w:ind w:left="319" w:right="0" w:hanging="212"/>
              <w:jc w:val="left"/>
              <w:rPr>
                <w:sz w:val="21"/>
              </w:rPr>
            </w:pPr>
            <w:r>
              <w:rPr>
                <w:spacing w:val="-3"/>
                <w:sz w:val="21"/>
              </w:rPr>
              <w:t>分队的队列动作</w:t>
            </w:r>
          </w:p>
        </w:tc>
        <w:tc>
          <w:tcPr>
            <w:tcW w:w="2755" w:type="dxa"/>
            <w:tcBorders/>
          </w:tcPr>
          <w:p>
            <w:pPr>
              <w:pStyle w:val="style4098"/>
              <w:spacing w:before="5" w:lineRule="atLeast" w:line="310"/>
              <w:ind w:left="107" w:right="97"/>
              <w:jc w:val="both"/>
              <w:rPr>
                <w:sz w:val="21"/>
              </w:rPr>
            </w:pPr>
            <w:r>
              <w:rPr>
                <w:sz w:val="21"/>
              </w:rPr>
              <w:t>集合、离散，整齐、报数， 出列、入列，行进、停止， 方向变换</w:t>
            </w:r>
          </w:p>
        </w:tc>
        <w:tc>
          <w:tcPr>
            <w:tcW w:w="1985" w:type="dxa"/>
            <w:vMerge w:val="continue"/>
            <w:tcBorders>
              <w:top w:val="nil"/>
            </w:tcBorders>
          </w:tcPr>
          <w:p>
            <w:pPr>
              <w:pStyle w:val="style0"/>
              <w:rPr>
                <w:sz w:val="2"/>
                <w:szCs w:val="2"/>
              </w:rPr>
            </w:pPr>
          </w:p>
        </w:tc>
        <w:tc>
          <w:tcPr>
            <w:tcW w:w="855" w:type="dxa"/>
            <w:vMerge w:val="continue"/>
            <w:tcBorders>
              <w:top w:val="nil"/>
            </w:tcBorders>
          </w:tcPr>
          <w:p>
            <w:pPr>
              <w:pStyle w:val="style0"/>
              <w:rPr>
                <w:sz w:val="2"/>
                <w:szCs w:val="2"/>
              </w:rPr>
            </w:pPr>
          </w:p>
        </w:tc>
        <w:tc>
          <w:tcPr>
            <w:tcW w:w="711" w:type="dxa"/>
            <w:vMerge w:val="continue"/>
            <w:tcBorders>
              <w:top w:val="nil"/>
              <w:right w:val="nil"/>
            </w:tcBorders>
          </w:tcPr>
          <w:p>
            <w:pPr>
              <w:pStyle w:val="style0"/>
              <w:rPr>
                <w:sz w:val="2"/>
                <w:szCs w:val="2"/>
              </w:rPr>
            </w:pPr>
          </w:p>
        </w:tc>
      </w:tr>
      <w:tr>
        <w:tblPrEx/>
        <w:trPr>
          <w:trHeight w:val="1401" w:hRule="atLeast"/>
        </w:trPr>
        <w:tc>
          <w:tcPr>
            <w:tcW w:w="643" w:type="dxa"/>
            <w:vMerge w:val="continue"/>
            <w:tcBorders>
              <w:top w:val="nil"/>
              <w:left w:val="nil"/>
            </w:tcBorders>
          </w:tcPr>
          <w:p>
            <w:pPr>
              <w:pStyle w:val="style0"/>
              <w:rPr>
                <w:sz w:val="2"/>
                <w:szCs w:val="2"/>
              </w:rPr>
            </w:pPr>
          </w:p>
        </w:tc>
        <w:tc>
          <w:tcPr>
            <w:tcW w:w="2105" w:type="dxa"/>
            <w:tcBorders/>
          </w:tcPr>
          <w:p>
            <w:pPr>
              <w:pStyle w:val="style4098"/>
              <w:rPr>
                <w:sz w:val="20"/>
              </w:rPr>
            </w:pPr>
          </w:p>
          <w:p>
            <w:pPr>
              <w:pStyle w:val="style4098"/>
              <w:spacing w:before="3"/>
              <w:rPr>
                <w:sz w:val="24"/>
              </w:rPr>
            </w:pPr>
          </w:p>
          <w:p>
            <w:pPr>
              <w:pStyle w:val="style4098"/>
              <w:ind w:left="319"/>
              <w:rPr>
                <w:sz w:val="21"/>
              </w:rPr>
            </w:pPr>
            <w:r>
              <w:rPr>
                <w:sz w:val="21"/>
              </w:rPr>
              <w:t>现地教学</w:t>
            </w:r>
          </w:p>
        </w:tc>
        <w:tc>
          <w:tcPr>
            <w:tcW w:w="2755" w:type="dxa"/>
            <w:tcBorders/>
          </w:tcPr>
          <w:p>
            <w:pPr>
              <w:pStyle w:val="style4098"/>
              <w:rPr>
                <w:sz w:val="20"/>
              </w:rPr>
            </w:pPr>
          </w:p>
          <w:p>
            <w:pPr>
              <w:pStyle w:val="style4098"/>
              <w:spacing w:before="155" w:lineRule="auto" w:line="278"/>
              <w:ind w:left="107" w:right="97"/>
              <w:rPr>
                <w:sz w:val="21"/>
              </w:rPr>
            </w:pPr>
            <w:r>
              <w:rPr>
                <w:sz w:val="21"/>
              </w:rPr>
              <w:t>走进军营，学唱军营歌曲， 走进爱国主义教育基地</w:t>
            </w:r>
          </w:p>
        </w:tc>
        <w:tc>
          <w:tcPr>
            <w:tcW w:w="1985" w:type="dxa"/>
            <w:vMerge w:val="continue"/>
            <w:tcBorders>
              <w:top w:val="nil"/>
            </w:tcBorders>
          </w:tcPr>
          <w:p>
            <w:pPr>
              <w:pStyle w:val="style0"/>
              <w:rPr>
                <w:sz w:val="2"/>
                <w:szCs w:val="2"/>
              </w:rPr>
            </w:pPr>
          </w:p>
        </w:tc>
        <w:tc>
          <w:tcPr>
            <w:tcW w:w="855" w:type="dxa"/>
            <w:vMerge w:val="continue"/>
            <w:tcBorders>
              <w:top w:val="nil"/>
            </w:tcBorders>
          </w:tcPr>
          <w:p>
            <w:pPr>
              <w:pStyle w:val="style0"/>
              <w:rPr>
                <w:sz w:val="2"/>
                <w:szCs w:val="2"/>
              </w:rPr>
            </w:pPr>
          </w:p>
        </w:tc>
        <w:tc>
          <w:tcPr>
            <w:tcW w:w="711" w:type="dxa"/>
            <w:vMerge w:val="continue"/>
            <w:tcBorders>
              <w:top w:val="nil"/>
              <w:right w:val="nil"/>
            </w:tcBorders>
          </w:tcPr>
          <w:p>
            <w:pPr>
              <w:pStyle w:val="style0"/>
              <w:rPr>
                <w:sz w:val="2"/>
                <w:szCs w:val="2"/>
              </w:rPr>
            </w:pPr>
          </w:p>
        </w:tc>
      </w:tr>
      <w:tr>
        <w:tblPrEx/>
        <w:trPr>
          <w:trHeight w:val="988" w:hRule="atLeast"/>
        </w:trPr>
        <w:tc>
          <w:tcPr>
            <w:tcW w:w="643" w:type="dxa"/>
            <w:vMerge w:val="restart"/>
            <w:tcBorders>
              <w:left w:val="nil"/>
            </w:tcBorders>
          </w:tcPr>
          <w:p>
            <w:pPr>
              <w:pStyle w:val="style4098"/>
              <w:rPr>
                <w:sz w:val="20"/>
              </w:rPr>
            </w:pPr>
          </w:p>
          <w:p>
            <w:pPr>
              <w:pStyle w:val="style4098"/>
              <w:rPr>
                <w:sz w:val="20"/>
              </w:rPr>
            </w:pPr>
          </w:p>
          <w:p>
            <w:pPr>
              <w:pStyle w:val="style4098"/>
              <w:rPr>
                <w:sz w:val="20"/>
              </w:rPr>
            </w:pPr>
          </w:p>
          <w:p>
            <w:pPr>
              <w:pStyle w:val="style4098"/>
              <w:rPr>
                <w:sz w:val="20"/>
              </w:rPr>
            </w:pPr>
          </w:p>
          <w:p>
            <w:pPr>
              <w:pStyle w:val="style4098"/>
              <w:spacing w:before="2"/>
              <w:rPr>
                <w:sz w:val="19"/>
              </w:rPr>
            </w:pPr>
          </w:p>
          <w:p>
            <w:pPr>
              <w:pStyle w:val="style4098"/>
              <w:spacing w:lineRule="auto" w:line="278"/>
              <w:ind w:left="112" w:right="93"/>
              <w:jc w:val="both"/>
              <w:rPr>
                <w:sz w:val="21"/>
              </w:rPr>
            </w:pPr>
            <w:r>
              <w:rPr>
                <w:sz w:val="21"/>
              </w:rPr>
              <w:t>射击与战术训练</w:t>
            </w:r>
          </w:p>
        </w:tc>
        <w:tc>
          <w:tcPr>
            <w:tcW w:w="2105" w:type="dxa"/>
            <w:tcBorders/>
          </w:tcPr>
          <w:p>
            <w:pPr>
              <w:pStyle w:val="style4098"/>
              <w:spacing w:before="1"/>
              <w:rPr>
                <w:sz w:val="28"/>
              </w:rPr>
            </w:pPr>
          </w:p>
          <w:p>
            <w:pPr>
              <w:pStyle w:val="style4098"/>
              <w:numPr>
                <w:ilvl w:val="0"/>
                <w:numId w:val="15"/>
              </w:numPr>
              <w:tabs>
                <w:tab w:val="left" w:leader="none" w:pos="320"/>
              </w:tabs>
              <w:spacing w:before="0" w:after="0" w:lineRule="auto" w:line="240"/>
              <w:ind w:left="319" w:right="0" w:hanging="212"/>
              <w:jc w:val="left"/>
              <w:rPr>
                <w:sz w:val="21"/>
              </w:rPr>
            </w:pPr>
            <w:r>
              <w:rPr>
                <w:spacing w:val="-3"/>
                <w:sz w:val="21"/>
              </w:rPr>
              <w:t>轻武器射击</w:t>
            </w:r>
          </w:p>
        </w:tc>
        <w:tc>
          <w:tcPr>
            <w:tcW w:w="2755" w:type="dxa"/>
            <w:tcBorders/>
          </w:tcPr>
          <w:p>
            <w:pPr>
              <w:pStyle w:val="style4098"/>
              <w:spacing w:before="8" w:lineRule="atLeast" w:line="310"/>
              <w:ind w:left="107" w:right="97"/>
              <w:jc w:val="both"/>
              <w:rPr>
                <w:sz w:val="21"/>
              </w:rPr>
            </w:pPr>
            <w:r>
              <w:rPr>
                <w:sz w:val="21"/>
              </w:rPr>
              <w:t>轻武器性能、构造与保养， 简易射击学理，武器操作、实弹射击</w:t>
            </w:r>
          </w:p>
        </w:tc>
        <w:tc>
          <w:tcPr>
            <w:tcW w:w="1985" w:type="dxa"/>
            <w:vMerge w:val="restart"/>
            <w:tcBorders/>
          </w:tcPr>
          <w:p>
            <w:pPr>
              <w:pStyle w:val="style4098"/>
              <w:spacing w:before="22" w:lineRule="auto" w:line="278"/>
              <w:ind w:left="108" w:right="91"/>
              <w:jc w:val="both"/>
              <w:rPr>
                <w:sz w:val="21"/>
              </w:rPr>
            </w:pPr>
            <w:r>
              <w:rPr>
                <w:sz w:val="21"/>
              </w:rPr>
              <w:t>了解轻武器的战斗性能，掌握射击动作要领，进行体会射击；学会单兵战术基础动作，了解战斗班组攻防的基本动作和战术原则，培养学生良好</w:t>
            </w:r>
          </w:p>
          <w:p>
            <w:pPr>
              <w:pStyle w:val="style4098"/>
              <w:spacing w:lineRule="exact" w:line="268"/>
              <w:ind w:left="108"/>
              <w:rPr>
                <w:sz w:val="21"/>
              </w:rPr>
            </w:pPr>
            <w:r>
              <w:rPr>
                <w:sz w:val="21"/>
              </w:rPr>
              <w:t>的战斗素养</w:t>
            </w:r>
          </w:p>
        </w:tc>
        <w:tc>
          <w:tcPr>
            <w:tcW w:w="855" w:type="dxa"/>
            <w:vMerge w:val="restart"/>
            <w:tcBorders/>
          </w:tcPr>
          <w:p>
            <w:pPr>
              <w:pStyle w:val="style4098"/>
              <w:rPr>
                <w:sz w:val="22"/>
              </w:rPr>
            </w:pPr>
          </w:p>
          <w:p>
            <w:pPr>
              <w:pStyle w:val="style4098"/>
              <w:rPr>
                <w:sz w:val="22"/>
              </w:rPr>
            </w:pPr>
          </w:p>
          <w:p>
            <w:pPr>
              <w:pStyle w:val="style4098"/>
              <w:rPr>
                <w:sz w:val="22"/>
              </w:rPr>
            </w:pPr>
          </w:p>
          <w:p>
            <w:pPr>
              <w:pStyle w:val="style4098"/>
              <w:rPr>
                <w:sz w:val="22"/>
              </w:rPr>
            </w:pPr>
          </w:p>
          <w:p>
            <w:pPr>
              <w:pStyle w:val="style4098"/>
              <w:spacing w:before="154"/>
              <w:ind w:left="110"/>
              <w:rPr>
                <w:rFonts w:ascii="Times New Roman" w:hAnsi="Times New Roman"/>
                <w:sz w:val="21"/>
              </w:rPr>
            </w:pPr>
            <w:r>
              <w:rPr>
                <w:rFonts w:ascii="Times New Roman" w:hAnsi="Times New Roman"/>
                <w:sz w:val="21"/>
              </w:rPr>
              <w:t>20—28</w:t>
            </w:r>
          </w:p>
        </w:tc>
        <w:tc>
          <w:tcPr>
            <w:tcW w:w="711" w:type="dxa"/>
            <w:vMerge w:val="restart"/>
            <w:tcBorders>
              <w:right w:val="nil"/>
            </w:tcBorders>
          </w:tcPr>
          <w:p>
            <w:pPr>
              <w:pStyle w:val="style4098"/>
              <w:spacing w:before="22" w:lineRule="auto" w:line="278"/>
              <w:ind w:left="107" w:right="101"/>
              <w:jc w:val="both"/>
              <w:rPr>
                <w:sz w:val="21"/>
              </w:rPr>
            </w:pPr>
            <w:r>
              <w:rPr>
                <w:spacing w:val="-17"/>
                <w:sz w:val="21"/>
              </w:rPr>
              <w:t>在 训练 条件 不满 足时 ， 可 采取 模拟 训</w:t>
            </w:r>
          </w:p>
          <w:p>
            <w:pPr>
              <w:pStyle w:val="style4098"/>
              <w:spacing w:lineRule="exact" w:line="268"/>
              <w:ind w:left="107"/>
              <w:rPr>
                <w:sz w:val="21"/>
              </w:rPr>
            </w:pPr>
            <w:r>
              <w:rPr>
                <w:w w:val="100"/>
                <w:sz w:val="21"/>
              </w:rPr>
              <w:t>练</w:t>
            </w:r>
          </w:p>
        </w:tc>
      </w:tr>
      <w:tr>
        <w:tblPrEx/>
        <w:trPr>
          <w:trHeight w:val="1809" w:hRule="atLeast"/>
        </w:trPr>
        <w:tc>
          <w:tcPr>
            <w:tcW w:w="643" w:type="dxa"/>
            <w:vMerge w:val="continue"/>
            <w:tcBorders>
              <w:top w:val="nil"/>
              <w:left w:val="nil"/>
            </w:tcBorders>
          </w:tcPr>
          <w:p>
            <w:pPr>
              <w:pStyle w:val="style0"/>
              <w:rPr>
                <w:sz w:val="2"/>
                <w:szCs w:val="2"/>
              </w:rPr>
            </w:pPr>
          </w:p>
        </w:tc>
        <w:tc>
          <w:tcPr>
            <w:tcW w:w="2105" w:type="dxa"/>
            <w:tcBorders/>
          </w:tcPr>
          <w:p>
            <w:pPr>
              <w:pStyle w:val="style4098"/>
              <w:rPr>
                <w:sz w:val="26"/>
              </w:rPr>
            </w:pPr>
          </w:p>
          <w:p>
            <w:pPr>
              <w:pStyle w:val="style4098"/>
              <w:spacing w:before="1"/>
              <w:rPr>
                <w:sz w:val="34"/>
              </w:rPr>
            </w:pPr>
          </w:p>
          <w:p>
            <w:pPr>
              <w:pStyle w:val="style4098"/>
              <w:numPr>
                <w:ilvl w:val="0"/>
                <w:numId w:val="16"/>
              </w:numPr>
              <w:tabs>
                <w:tab w:val="left" w:leader="none" w:pos="320"/>
              </w:tabs>
              <w:spacing w:before="0" w:after="0" w:lineRule="auto" w:line="240"/>
              <w:ind w:left="319" w:right="0" w:hanging="212"/>
              <w:jc w:val="left"/>
              <w:rPr>
                <w:sz w:val="21"/>
              </w:rPr>
            </w:pPr>
            <w:r>
              <w:rPr>
                <w:sz w:val="21"/>
              </w:rPr>
              <w:t>战术</w:t>
            </w:r>
          </w:p>
        </w:tc>
        <w:tc>
          <w:tcPr>
            <w:tcW w:w="2755" w:type="dxa"/>
            <w:tcBorders/>
          </w:tcPr>
          <w:p>
            <w:pPr>
              <w:pStyle w:val="style4098"/>
              <w:rPr>
                <w:sz w:val="20"/>
              </w:rPr>
            </w:pPr>
          </w:p>
          <w:p>
            <w:pPr>
              <w:pStyle w:val="style4098"/>
              <w:rPr>
                <w:sz w:val="28"/>
              </w:rPr>
            </w:pPr>
          </w:p>
          <w:p>
            <w:pPr>
              <w:pStyle w:val="style4098"/>
              <w:spacing w:lineRule="auto" w:line="278"/>
              <w:ind w:left="107" w:right="97"/>
              <w:rPr>
                <w:sz w:val="21"/>
              </w:rPr>
            </w:pPr>
            <w:r>
              <w:rPr>
                <w:sz w:val="21"/>
              </w:rPr>
              <w:t>单兵战术基础动作、分队战术</w:t>
            </w:r>
          </w:p>
        </w:tc>
        <w:tc>
          <w:tcPr>
            <w:tcW w:w="1985" w:type="dxa"/>
            <w:vMerge w:val="continue"/>
            <w:tcBorders>
              <w:top w:val="nil"/>
            </w:tcBorders>
          </w:tcPr>
          <w:p>
            <w:pPr>
              <w:pStyle w:val="style0"/>
              <w:rPr>
                <w:sz w:val="2"/>
                <w:szCs w:val="2"/>
              </w:rPr>
            </w:pPr>
          </w:p>
        </w:tc>
        <w:tc>
          <w:tcPr>
            <w:tcW w:w="855" w:type="dxa"/>
            <w:vMerge w:val="continue"/>
            <w:tcBorders>
              <w:top w:val="nil"/>
            </w:tcBorders>
          </w:tcPr>
          <w:p>
            <w:pPr>
              <w:pStyle w:val="style0"/>
              <w:rPr>
                <w:sz w:val="2"/>
                <w:szCs w:val="2"/>
              </w:rPr>
            </w:pPr>
          </w:p>
        </w:tc>
        <w:tc>
          <w:tcPr>
            <w:tcW w:w="711" w:type="dxa"/>
            <w:vMerge w:val="continue"/>
            <w:tcBorders>
              <w:top w:val="nil"/>
              <w:right w:val="nil"/>
            </w:tcBorders>
          </w:tcPr>
          <w:p>
            <w:pPr>
              <w:pStyle w:val="style0"/>
              <w:rPr>
                <w:sz w:val="2"/>
                <w:szCs w:val="2"/>
              </w:rPr>
            </w:pPr>
          </w:p>
        </w:tc>
      </w:tr>
      <w:tr>
        <w:tblPrEx/>
        <w:trPr>
          <w:trHeight w:val="717" w:hRule="atLeast"/>
        </w:trPr>
        <w:tc>
          <w:tcPr>
            <w:tcW w:w="643" w:type="dxa"/>
            <w:vMerge w:val="restart"/>
            <w:tcBorders>
              <w:left w:val="nil"/>
            </w:tcBorders>
          </w:tcPr>
          <w:p>
            <w:pPr>
              <w:pStyle w:val="style4098"/>
              <w:spacing w:before="2"/>
              <w:rPr>
                <w:sz w:val="19"/>
              </w:rPr>
            </w:pPr>
          </w:p>
          <w:p>
            <w:pPr>
              <w:pStyle w:val="style4098"/>
              <w:spacing w:lineRule="auto" w:line="278"/>
              <w:ind w:left="115" w:right="98"/>
              <w:jc w:val="both"/>
              <w:rPr>
                <w:sz w:val="21"/>
              </w:rPr>
            </w:pPr>
            <w:r>
              <w:rPr>
                <w:sz w:val="21"/>
              </w:rPr>
              <w:t>防卫技能与</w:t>
            </w:r>
          </w:p>
          <w:p>
            <w:pPr>
              <w:pStyle w:val="style4098"/>
              <w:spacing w:lineRule="auto" w:line="278"/>
              <w:ind w:left="115" w:right="98"/>
              <w:jc w:val="both"/>
              <w:rPr>
                <w:sz w:val="21"/>
              </w:rPr>
            </w:pPr>
            <w:r>
              <w:rPr>
                <w:sz w:val="21"/>
              </w:rPr>
              <w:t>战时防护训练</w:t>
            </w:r>
          </w:p>
        </w:tc>
        <w:tc>
          <w:tcPr>
            <w:tcW w:w="2105" w:type="dxa"/>
            <w:tcBorders/>
          </w:tcPr>
          <w:p>
            <w:pPr>
              <w:pStyle w:val="style4098"/>
              <w:numPr>
                <w:ilvl w:val="0"/>
                <w:numId w:val="17"/>
              </w:numPr>
              <w:tabs>
                <w:tab w:val="left" w:leader="none" w:pos="320"/>
              </w:tabs>
              <w:spacing w:before="225" w:after="0" w:lineRule="auto" w:line="240"/>
              <w:ind w:left="319" w:right="0" w:hanging="212"/>
              <w:jc w:val="left"/>
              <w:rPr>
                <w:sz w:val="21"/>
              </w:rPr>
            </w:pPr>
            <w:r>
              <w:rPr>
                <w:spacing w:val="-2"/>
                <w:sz w:val="21"/>
              </w:rPr>
              <w:t>格斗基础</w:t>
            </w:r>
          </w:p>
        </w:tc>
        <w:tc>
          <w:tcPr>
            <w:tcW w:w="2755" w:type="dxa"/>
            <w:tcBorders/>
          </w:tcPr>
          <w:p>
            <w:pPr>
              <w:pStyle w:val="style4098"/>
              <w:spacing w:before="70" w:lineRule="auto" w:line="278"/>
              <w:ind w:left="107" w:right="97"/>
              <w:rPr>
                <w:sz w:val="21"/>
              </w:rPr>
            </w:pPr>
            <w:r>
              <w:rPr>
                <w:sz w:val="21"/>
              </w:rPr>
              <w:t>格斗常识、格斗基本功，捕俘拳等</w:t>
            </w:r>
          </w:p>
        </w:tc>
        <w:tc>
          <w:tcPr>
            <w:tcW w:w="1985" w:type="dxa"/>
            <w:vMerge w:val="restart"/>
            <w:tcBorders/>
          </w:tcPr>
          <w:p>
            <w:pPr>
              <w:pStyle w:val="style4098"/>
              <w:spacing w:before="2"/>
              <w:rPr>
                <w:sz w:val="19"/>
              </w:rPr>
            </w:pPr>
          </w:p>
          <w:p>
            <w:pPr>
              <w:pStyle w:val="style4098"/>
              <w:spacing w:lineRule="auto" w:line="278"/>
              <w:ind w:left="108" w:right="-15"/>
              <w:rPr>
                <w:sz w:val="21"/>
              </w:rPr>
            </w:pPr>
            <w:r>
              <w:rPr>
                <w:spacing w:val="10"/>
                <w:sz w:val="21"/>
              </w:rPr>
              <w:t>了解格斗、防护的基本知识，熟悉卫</w:t>
            </w:r>
            <w:r>
              <w:rPr>
                <w:spacing w:val="-5"/>
                <w:sz w:val="21"/>
              </w:rPr>
              <w:t xml:space="preserve">生、救护基本要领， </w:t>
            </w:r>
            <w:r>
              <w:rPr>
                <w:spacing w:val="10"/>
                <w:sz w:val="21"/>
              </w:rPr>
              <w:t>掌握战场自救互救的技能，提高学生</w:t>
            </w:r>
            <w:r>
              <w:rPr>
                <w:sz w:val="21"/>
              </w:rPr>
              <w:t>安全防护能力</w:t>
            </w:r>
          </w:p>
        </w:tc>
        <w:tc>
          <w:tcPr>
            <w:tcW w:w="855" w:type="dxa"/>
            <w:vMerge w:val="restart"/>
            <w:tcBorders/>
          </w:tcPr>
          <w:p>
            <w:pPr>
              <w:pStyle w:val="style4098"/>
              <w:rPr>
                <w:sz w:val="22"/>
              </w:rPr>
            </w:pPr>
          </w:p>
          <w:p>
            <w:pPr>
              <w:pStyle w:val="style4098"/>
              <w:rPr>
                <w:sz w:val="22"/>
              </w:rPr>
            </w:pPr>
          </w:p>
          <w:p>
            <w:pPr>
              <w:pStyle w:val="style4098"/>
              <w:rPr>
                <w:sz w:val="22"/>
              </w:rPr>
            </w:pPr>
          </w:p>
          <w:p>
            <w:pPr>
              <w:pStyle w:val="style4098"/>
              <w:spacing w:before="191"/>
              <w:ind w:left="110"/>
              <w:rPr>
                <w:rFonts w:ascii="Times New Roman" w:hAnsi="Times New Roman"/>
                <w:sz w:val="21"/>
              </w:rPr>
            </w:pPr>
            <w:r>
              <w:rPr>
                <w:rFonts w:ascii="Times New Roman" w:hAnsi="Times New Roman"/>
                <w:sz w:val="21"/>
              </w:rPr>
              <w:t>32—48</w:t>
            </w:r>
          </w:p>
        </w:tc>
        <w:tc>
          <w:tcPr>
            <w:tcW w:w="711" w:type="dxa"/>
            <w:vMerge w:val="restart"/>
            <w:tcBorders>
              <w:right w:val="nil"/>
            </w:tcBorders>
          </w:tcPr>
          <w:p>
            <w:pPr>
              <w:pStyle w:val="style4098"/>
              <w:rPr>
                <w:rFonts w:ascii="Times New Roman"/>
                <w:sz w:val="20"/>
              </w:rPr>
            </w:pPr>
          </w:p>
        </w:tc>
      </w:tr>
      <w:tr>
        <w:tblPrEx/>
        <w:trPr>
          <w:trHeight w:val="954" w:hRule="atLeast"/>
        </w:trPr>
        <w:tc>
          <w:tcPr>
            <w:tcW w:w="643" w:type="dxa"/>
            <w:vMerge w:val="continue"/>
            <w:tcBorders>
              <w:top w:val="nil"/>
              <w:left w:val="nil"/>
            </w:tcBorders>
          </w:tcPr>
          <w:p>
            <w:pPr>
              <w:pStyle w:val="style0"/>
              <w:rPr>
                <w:sz w:val="2"/>
                <w:szCs w:val="2"/>
              </w:rPr>
            </w:pPr>
          </w:p>
        </w:tc>
        <w:tc>
          <w:tcPr>
            <w:tcW w:w="2105" w:type="dxa"/>
            <w:tcBorders/>
          </w:tcPr>
          <w:p>
            <w:pPr>
              <w:pStyle w:val="style4098"/>
              <w:spacing w:before="11"/>
              <w:rPr>
                <w:sz w:val="26"/>
              </w:rPr>
            </w:pPr>
          </w:p>
          <w:p>
            <w:pPr>
              <w:pStyle w:val="style4098"/>
              <w:ind w:left="108"/>
              <w:rPr>
                <w:sz w:val="21"/>
              </w:rPr>
            </w:pPr>
            <w:r>
              <w:rPr>
                <w:rFonts w:ascii="Times New Roman" w:eastAsia="Times New Roman"/>
                <w:sz w:val="21"/>
              </w:rPr>
              <w:t>*</w:t>
            </w:r>
            <w:r>
              <w:rPr>
                <w:rFonts w:ascii="Times New Roman" w:eastAsia="Times New Roman"/>
                <w:spacing w:val="51"/>
                <w:sz w:val="21"/>
              </w:rPr>
              <w:t xml:space="preserve"> </w:t>
            </w:r>
            <w:r>
              <w:rPr>
                <w:spacing w:val="-1"/>
                <w:sz w:val="21"/>
              </w:rPr>
              <w:t>战场医疗救护</w:t>
            </w:r>
          </w:p>
        </w:tc>
        <w:tc>
          <w:tcPr>
            <w:tcW w:w="2755" w:type="dxa"/>
            <w:tcBorders/>
          </w:tcPr>
          <w:p>
            <w:pPr>
              <w:pStyle w:val="style4098"/>
              <w:spacing w:before="32" w:lineRule="auto" w:line="278"/>
              <w:ind w:left="107" w:right="97"/>
              <w:rPr>
                <w:sz w:val="21"/>
              </w:rPr>
            </w:pPr>
            <w:r>
              <w:rPr>
                <w:sz w:val="21"/>
              </w:rPr>
              <w:t>救护基本知识、个人卫生， 意外伤的救护、心肺复苏，</w:t>
            </w:r>
          </w:p>
          <w:p>
            <w:pPr>
              <w:pStyle w:val="style4098"/>
              <w:spacing w:lineRule="exact" w:line="269"/>
              <w:ind w:left="107"/>
              <w:rPr>
                <w:sz w:val="21"/>
              </w:rPr>
            </w:pPr>
            <w:r>
              <w:rPr>
                <w:sz w:val="21"/>
              </w:rPr>
              <w:t>战场自救互救</w:t>
            </w:r>
          </w:p>
        </w:tc>
        <w:tc>
          <w:tcPr>
            <w:tcW w:w="1985" w:type="dxa"/>
            <w:vMerge w:val="continue"/>
            <w:tcBorders>
              <w:top w:val="nil"/>
            </w:tcBorders>
          </w:tcPr>
          <w:p>
            <w:pPr>
              <w:pStyle w:val="style0"/>
              <w:rPr>
                <w:sz w:val="2"/>
                <w:szCs w:val="2"/>
              </w:rPr>
            </w:pPr>
          </w:p>
        </w:tc>
        <w:tc>
          <w:tcPr>
            <w:tcW w:w="855" w:type="dxa"/>
            <w:vMerge w:val="continue"/>
            <w:tcBorders>
              <w:top w:val="nil"/>
            </w:tcBorders>
          </w:tcPr>
          <w:p>
            <w:pPr>
              <w:pStyle w:val="style0"/>
              <w:rPr>
                <w:sz w:val="2"/>
                <w:szCs w:val="2"/>
              </w:rPr>
            </w:pPr>
          </w:p>
        </w:tc>
        <w:tc>
          <w:tcPr>
            <w:tcW w:w="711" w:type="dxa"/>
            <w:vMerge w:val="continue"/>
            <w:tcBorders>
              <w:top w:val="nil"/>
              <w:right w:val="nil"/>
            </w:tcBorders>
          </w:tcPr>
          <w:p>
            <w:pPr>
              <w:pStyle w:val="style0"/>
              <w:rPr>
                <w:sz w:val="2"/>
                <w:szCs w:val="2"/>
              </w:rPr>
            </w:pPr>
          </w:p>
        </w:tc>
      </w:tr>
      <w:tr>
        <w:tblPrEx/>
        <w:trPr>
          <w:trHeight w:val="623" w:hRule="atLeast"/>
        </w:trPr>
        <w:tc>
          <w:tcPr>
            <w:tcW w:w="643" w:type="dxa"/>
            <w:vMerge w:val="continue"/>
            <w:tcBorders>
              <w:top w:val="nil"/>
              <w:left w:val="nil"/>
            </w:tcBorders>
          </w:tcPr>
          <w:p>
            <w:pPr>
              <w:pStyle w:val="style0"/>
              <w:rPr>
                <w:sz w:val="2"/>
                <w:szCs w:val="2"/>
              </w:rPr>
            </w:pPr>
          </w:p>
        </w:tc>
        <w:tc>
          <w:tcPr>
            <w:tcW w:w="2105" w:type="dxa"/>
            <w:tcBorders/>
          </w:tcPr>
          <w:p>
            <w:pPr>
              <w:pStyle w:val="style4098"/>
              <w:spacing w:before="178"/>
              <w:ind w:left="108"/>
              <w:rPr>
                <w:sz w:val="21"/>
              </w:rPr>
            </w:pPr>
            <w:r>
              <w:rPr>
                <w:rFonts w:ascii="Times New Roman" w:eastAsia="Times New Roman"/>
                <w:sz w:val="21"/>
              </w:rPr>
              <w:t>*</w:t>
            </w:r>
            <w:r>
              <w:rPr>
                <w:rFonts w:ascii="Times New Roman" w:eastAsia="Times New Roman"/>
                <w:spacing w:val="51"/>
                <w:sz w:val="21"/>
              </w:rPr>
              <w:t xml:space="preserve"> </w:t>
            </w:r>
            <w:r>
              <w:rPr>
                <w:spacing w:val="-1"/>
                <w:sz w:val="21"/>
              </w:rPr>
              <w:t>核生化防护</w:t>
            </w:r>
          </w:p>
        </w:tc>
        <w:tc>
          <w:tcPr>
            <w:tcW w:w="2755" w:type="dxa"/>
            <w:tcBorders/>
          </w:tcPr>
          <w:p>
            <w:pPr>
              <w:pStyle w:val="style4098"/>
              <w:spacing w:before="22"/>
              <w:ind w:left="107"/>
              <w:rPr>
                <w:sz w:val="21"/>
              </w:rPr>
            </w:pPr>
            <w:r>
              <w:rPr>
                <w:sz w:val="21"/>
              </w:rPr>
              <w:t>防护基本知识和技能，防护</w:t>
            </w:r>
          </w:p>
          <w:p>
            <w:pPr>
              <w:pStyle w:val="style4098"/>
              <w:spacing w:before="43"/>
              <w:ind w:left="107"/>
              <w:rPr>
                <w:sz w:val="21"/>
              </w:rPr>
            </w:pPr>
            <w:r>
              <w:rPr>
                <w:sz w:val="21"/>
              </w:rPr>
              <w:t>装备使用</w:t>
            </w:r>
          </w:p>
        </w:tc>
        <w:tc>
          <w:tcPr>
            <w:tcW w:w="1985" w:type="dxa"/>
            <w:vMerge w:val="continue"/>
            <w:tcBorders>
              <w:top w:val="nil"/>
            </w:tcBorders>
          </w:tcPr>
          <w:p>
            <w:pPr>
              <w:pStyle w:val="style0"/>
              <w:rPr>
                <w:sz w:val="2"/>
                <w:szCs w:val="2"/>
              </w:rPr>
            </w:pPr>
          </w:p>
        </w:tc>
        <w:tc>
          <w:tcPr>
            <w:tcW w:w="855" w:type="dxa"/>
            <w:vMerge w:val="continue"/>
            <w:tcBorders>
              <w:top w:val="nil"/>
            </w:tcBorders>
          </w:tcPr>
          <w:p>
            <w:pPr>
              <w:pStyle w:val="style0"/>
              <w:rPr>
                <w:sz w:val="2"/>
                <w:szCs w:val="2"/>
              </w:rPr>
            </w:pPr>
          </w:p>
        </w:tc>
        <w:tc>
          <w:tcPr>
            <w:tcW w:w="711" w:type="dxa"/>
            <w:vMerge w:val="continue"/>
            <w:tcBorders>
              <w:top w:val="nil"/>
              <w:right w:val="nil"/>
            </w:tcBorders>
          </w:tcPr>
          <w:p>
            <w:pPr>
              <w:pStyle w:val="style0"/>
              <w:rPr>
                <w:sz w:val="2"/>
                <w:szCs w:val="2"/>
              </w:rPr>
            </w:pPr>
          </w:p>
        </w:tc>
      </w:tr>
      <w:tr>
        <w:tblPrEx/>
        <w:trPr>
          <w:trHeight w:val="601" w:hRule="atLeast"/>
        </w:trPr>
        <w:tc>
          <w:tcPr>
            <w:tcW w:w="643" w:type="dxa"/>
            <w:vMerge w:val="restart"/>
            <w:tcBorders>
              <w:left w:val="nil"/>
            </w:tcBorders>
          </w:tcPr>
          <w:p>
            <w:pPr>
              <w:pStyle w:val="style4098"/>
              <w:rPr>
                <w:sz w:val="20"/>
              </w:rPr>
            </w:pPr>
          </w:p>
          <w:p>
            <w:pPr>
              <w:pStyle w:val="style4098"/>
              <w:rPr>
                <w:sz w:val="20"/>
              </w:rPr>
            </w:pPr>
          </w:p>
          <w:p>
            <w:pPr>
              <w:pStyle w:val="style4098"/>
              <w:rPr>
                <w:sz w:val="20"/>
              </w:rPr>
            </w:pPr>
          </w:p>
          <w:p>
            <w:pPr>
              <w:pStyle w:val="style4098"/>
              <w:rPr>
                <w:sz w:val="20"/>
              </w:rPr>
            </w:pPr>
          </w:p>
          <w:p>
            <w:pPr>
              <w:pStyle w:val="style4098"/>
              <w:spacing w:before="159" w:lineRule="auto" w:line="278"/>
              <w:ind w:left="112" w:right="93"/>
              <w:jc w:val="both"/>
              <w:rPr>
                <w:sz w:val="21"/>
              </w:rPr>
            </w:pPr>
            <w:r>
              <w:rPr>
                <w:sz w:val="21"/>
              </w:rPr>
              <w:t>战备基础与</w:t>
            </w:r>
          </w:p>
          <w:p>
            <w:pPr>
              <w:pStyle w:val="style4098"/>
              <w:spacing w:lineRule="auto" w:line="278"/>
              <w:ind w:left="112" w:right="93"/>
              <w:rPr>
                <w:sz w:val="21"/>
              </w:rPr>
            </w:pPr>
            <w:r>
              <w:rPr>
                <w:sz w:val="21"/>
              </w:rPr>
              <w:t>应用训练</w:t>
            </w:r>
          </w:p>
        </w:tc>
        <w:tc>
          <w:tcPr>
            <w:tcW w:w="2105" w:type="dxa"/>
            <w:tcBorders/>
          </w:tcPr>
          <w:p>
            <w:pPr>
              <w:pStyle w:val="style4098"/>
              <w:spacing w:before="169"/>
              <w:ind w:left="108"/>
              <w:rPr>
                <w:sz w:val="21"/>
              </w:rPr>
            </w:pPr>
            <w:r>
              <w:rPr>
                <w:rFonts w:ascii="Times New Roman" w:eastAsia="Times New Roman"/>
                <w:sz w:val="21"/>
              </w:rPr>
              <w:t>*</w:t>
            </w:r>
            <w:r>
              <w:rPr>
                <w:rFonts w:ascii="Times New Roman" w:eastAsia="Times New Roman"/>
                <w:spacing w:val="51"/>
                <w:sz w:val="21"/>
              </w:rPr>
              <w:t xml:space="preserve"> </w:t>
            </w:r>
            <w:r>
              <w:rPr>
                <w:sz w:val="21"/>
              </w:rPr>
              <w:t>战备规定</w:t>
            </w:r>
          </w:p>
        </w:tc>
        <w:tc>
          <w:tcPr>
            <w:tcW w:w="2755" w:type="dxa"/>
            <w:tcBorders/>
          </w:tcPr>
          <w:p>
            <w:pPr>
              <w:pStyle w:val="style4098"/>
              <w:spacing w:before="169"/>
              <w:ind w:left="107"/>
              <w:rPr>
                <w:sz w:val="21"/>
              </w:rPr>
            </w:pPr>
            <w:r>
              <w:rPr>
                <w:sz w:val="21"/>
              </w:rPr>
              <w:t>战备规定主要内容、要求</w:t>
            </w:r>
          </w:p>
        </w:tc>
        <w:tc>
          <w:tcPr>
            <w:tcW w:w="1985" w:type="dxa"/>
            <w:vMerge w:val="restart"/>
            <w:tcBorders/>
          </w:tcPr>
          <w:p>
            <w:pPr>
              <w:pStyle w:val="style4098"/>
              <w:rPr>
                <w:sz w:val="20"/>
              </w:rPr>
            </w:pPr>
          </w:p>
          <w:p>
            <w:pPr>
              <w:pStyle w:val="style4098"/>
              <w:spacing w:before="148" w:lineRule="auto" w:line="278"/>
              <w:ind w:left="108" w:right="-15"/>
              <w:rPr>
                <w:sz w:val="21"/>
              </w:rPr>
            </w:pPr>
            <w:r>
              <w:rPr>
                <w:spacing w:val="10"/>
                <w:sz w:val="21"/>
              </w:rPr>
              <w:t>了解战备规定、紧</w:t>
            </w:r>
            <w:r>
              <w:rPr>
                <w:spacing w:val="-4"/>
                <w:sz w:val="21"/>
              </w:rPr>
              <w:t>急集合、徒步行军、</w:t>
            </w:r>
            <w:r>
              <w:rPr>
                <w:spacing w:val="10"/>
                <w:sz w:val="21"/>
              </w:rPr>
              <w:t>野外生存的基本要求、方法和注意事</w:t>
            </w:r>
            <w:r>
              <w:rPr>
                <w:spacing w:val="-5"/>
                <w:sz w:val="21"/>
              </w:rPr>
              <w:t>项，学会识图用图、</w:t>
            </w:r>
            <w:r>
              <w:rPr>
                <w:spacing w:val="10"/>
                <w:sz w:val="21"/>
              </w:rPr>
              <w:t>电磁频谱监测的基本技能，培养学生分析判断和应急处置能力，全面提升</w:t>
            </w:r>
            <w:r>
              <w:rPr>
                <w:sz w:val="21"/>
              </w:rPr>
              <w:t>综合军事素质</w:t>
            </w:r>
          </w:p>
        </w:tc>
        <w:tc>
          <w:tcPr>
            <w:tcW w:w="855" w:type="dxa"/>
            <w:vMerge w:val="restart"/>
            <w:tcBorders/>
          </w:tcPr>
          <w:p>
            <w:pPr>
              <w:pStyle w:val="style4098"/>
              <w:rPr>
                <w:sz w:val="22"/>
              </w:rPr>
            </w:pPr>
          </w:p>
          <w:p>
            <w:pPr>
              <w:pStyle w:val="style4098"/>
              <w:rPr>
                <w:sz w:val="22"/>
              </w:rPr>
            </w:pPr>
          </w:p>
          <w:p>
            <w:pPr>
              <w:pStyle w:val="style4098"/>
              <w:rPr>
                <w:sz w:val="22"/>
              </w:rPr>
            </w:pPr>
          </w:p>
          <w:p>
            <w:pPr>
              <w:pStyle w:val="style4098"/>
              <w:rPr>
                <w:sz w:val="22"/>
              </w:rPr>
            </w:pPr>
          </w:p>
          <w:p>
            <w:pPr>
              <w:pStyle w:val="style4098"/>
              <w:rPr>
                <w:sz w:val="22"/>
              </w:rPr>
            </w:pPr>
          </w:p>
          <w:p>
            <w:pPr>
              <w:pStyle w:val="style4098"/>
              <w:rPr>
                <w:sz w:val="32"/>
              </w:rPr>
            </w:pPr>
          </w:p>
          <w:p>
            <w:pPr>
              <w:pStyle w:val="style4098"/>
              <w:ind w:left="110"/>
              <w:rPr>
                <w:rFonts w:ascii="Times New Roman" w:hAnsi="Times New Roman"/>
                <w:sz w:val="21"/>
              </w:rPr>
            </w:pPr>
            <w:r>
              <w:rPr>
                <w:rFonts w:ascii="Times New Roman" w:hAnsi="Times New Roman"/>
                <w:sz w:val="21"/>
              </w:rPr>
              <w:t>20—36</w:t>
            </w:r>
          </w:p>
        </w:tc>
        <w:tc>
          <w:tcPr>
            <w:tcW w:w="711" w:type="dxa"/>
            <w:vMerge w:val="restart"/>
            <w:tcBorders>
              <w:right w:val="nil"/>
            </w:tcBorders>
          </w:tcPr>
          <w:p>
            <w:pPr>
              <w:pStyle w:val="style4098"/>
              <w:rPr>
                <w:rFonts w:ascii="Times New Roman"/>
                <w:sz w:val="20"/>
              </w:rPr>
            </w:pPr>
          </w:p>
        </w:tc>
      </w:tr>
      <w:tr>
        <w:tblPrEx/>
        <w:trPr>
          <w:trHeight w:val="489" w:hRule="atLeast"/>
        </w:trPr>
        <w:tc>
          <w:tcPr>
            <w:tcW w:w="643" w:type="dxa"/>
            <w:vMerge w:val="continue"/>
            <w:tcBorders>
              <w:top w:val="nil"/>
              <w:left w:val="nil"/>
            </w:tcBorders>
          </w:tcPr>
          <w:p>
            <w:pPr>
              <w:pStyle w:val="style0"/>
              <w:rPr>
                <w:sz w:val="2"/>
                <w:szCs w:val="2"/>
              </w:rPr>
            </w:pPr>
          </w:p>
        </w:tc>
        <w:tc>
          <w:tcPr>
            <w:tcW w:w="2105" w:type="dxa"/>
            <w:tcBorders/>
          </w:tcPr>
          <w:p>
            <w:pPr>
              <w:pStyle w:val="style4098"/>
              <w:spacing w:before="111"/>
              <w:ind w:left="108"/>
              <w:rPr>
                <w:sz w:val="21"/>
              </w:rPr>
            </w:pPr>
            <w:r>
              <w:rPr>
                <w:rFonts w:ascii="Times New Roman" w:eastAsia="Times New Roman"/>
                <w:sz w:val="21"/>
              </w:rPr>
              <w:t>*</w:t>
            </w:r>
            <w:r>
              <w:rPr>
                <w:rFonts w:ascii="Times New Roman" w:eastAsia="Times New Roman"/>
                <w:spacing w:val="51"/>
                <w:sz w:val="21"/>
              </w:rPr>
              <w:t xml:space="preserve"> </w:t>
            </w:r>
            <w:r>
              <w:rPr>
                <w:sz w:val="21"/>
              </w:rPr>
              <w:t>紧急集合</w:t>
            </w:r>
          </w:p>
        </w:tc>
        <w:tc>
          <w:tcPr>
            <w:tcW w:w="2755" w:type="dxa"/>
            <w:tcBorders/>
          </w:tcPr>
          <w:p>
            <w:pPr>
              <w:pStyle w:val="style4098"/>
              <w:spacing w:before="111"/>
              <w:ind w:left="107"/>
              <w:rPr>
                <w:sz w:val="21"/>
              </w:rPr>
            </w:pPr>
            <w:r>
              <w:rPr>
                <w:spacing w:val="-32"/>
                <w:sz w:val="21"/>
              </w:rPr>
              <w:t>紧急集合要领、紧急集合训练</w:t>
            </w:r>
          </w:p>
        </w:tc>
        <w:tc>
          <w:tcPr>
            <w:tcW w:w="1985" w:type="dxa"/>
            <w:vMerge w:val="continue"/>
            <w:tcBorders>
              <w:top w:val="nil"/>
            </w:tcBorders>
          </w:tcPr>
          <w:p>
            <w:pPr>
              <w:pStyle w:val="style0"/>
              <w:rPr>
                <w:sz w:val="2"/>
                <w:szCs w:val="2"/>
              </w:rPr>
            </w:pPr>
          </w:p>
        </w:tc>
        <w:tc>
          <w:tcPr>
            <w:tcW w:w="855" w:type="dxa"/>
            <w:vMerge w:val="continue"/>
            <w:tcBorders>
              <w:top w:val="nil"/>
            </w:tcBorders>
          </w:tcPr>
          <w:p>
            <w:pPr>
              <w:pStyle w:val="style0"/>
              <w:rPr>
                <w:sz w:val="2"/>
                <w:szCs w:val="2"/>
              </w:rPr>
            </w:pPr>
          </w:p>
        </w:tc>
        <w:tc>
          <w:tcPr>
            <w:tcW w:w="711" w:type="dxa"/>
            <w:vMerge w:val="continue"/>
            <w:tcBorders>
              <w:top w:val="nil"/>
              <w:right w:val="nil"/>
            </w:tcBorders>
          </w:tcPr>
          <w:p>
            <w:pPr>
              <w:pStyle w:val="style0"/>
              <w:rPr>
                <w:sz w:val="2"/>
                <w:szCs w:val="2"/>
              </w:rPr>
            </w:pPr>
          </w:p>
        </w:tc>
      </w:tr>
      <w:tr>
        <w:tblPrEx/>
        <w:trPr>
          <w:trHeight w:val="705" w:hRule="atLeast"/>
        </w:trPr>
        <w:tc>
          <w:tcPr>
            <w:tcW w:w="643" w:type="dxa"/>
            <w:vMerge w:val="continue"/>
            <w:tcBorders>
              <w:top w:val="nil"/>
              <w:left w:val="nil"/>
            </w:tcBorders>
          </w:tcPr>
          <w:p>
            <w:pPr>
              <w:pStyle w:val="style0"/>
              <w:rPr>
                <w:sz w:val="2"/>
                <w:szCs w:val="2"/>
              </w:rPr>
            </w:pPr>
          </w:p>
        </w:tc>
        <w:tc>
          <w:tcPr>
            <w:tcW w:w="2105" w:type="dxa"/>
            <w:tcBorders/>
          </w:tcPr>
          <w:p>
            <w:pPr>
              <w:pStyle w:val="style4098"/>
              <w:spacing w:before="1"/>
              <w:rPr>
                <w:sz w:val="17"/>
              </w:rPr>
            </w:pPr>
          </w:p>
          <w:p>
            <w:pPr>
              <w:pStyle w:val="style4098"/>
              <w:ind w:left="108"/>
              <w:rPr>
                <w:sz w:val="21"/>
              </w:rPr>
            </w:pPr>
            <w:r>
              <w:rPr>
                <w:rFonts w:ascii="Times New Roman" w:eastAsia="Times New Roman"/>
                <w:sz w:val="21"/>
              </w:rPr>
              <w:t>*</w:t>
            </w:r>
            <w:r>
              <w:rPr>
                <w:rFonts w:ascii="Times New Roman" w:eastAsia="Times New Roman"/>
                <w:spacing w:val="51"/>
                <w:sz w:val="21"/>
              </w:rPr>
              <w:t xml:space="preserve"> </w:t>
            </w:r>
            <w:r>
              <w:rPr>
                <w:sz w:val="21"/>
              </w:rPr>
              <w:t>行军拉练</w:t>
            </w:r>
          </w:p>
        </w:tc>
        <w:tc>
          <w:tcPr>
            <w:tcW w:w="2755" w:type="dxa"/>
            <w:tcBorders/>
          </w:tcPr>
          <w:p>
            <w:pPr>
              <w:pStyle w:val="style4098"/>
              <w:spacing w:before="22" w:lineRule="atLeast" w:line="310"/>
              <w:ind w:left="107" w:right="97"/>
              <w:rPr>
                <w:sz w:val="21"/>
              </w:rPr>
            </w:pPr>
            <w:r>
              <w:rPr>
                <w:sz w:val="21"/>
              </w:rPr>
              <w:t>行军拉练基本要领、方法， 徒步行军实践，宿营</w:t>
            </w:r>
          </w:p>
        </w:tc>
        <w:tc>
          <w:tcPr>
            <w:tcW w:w="1985" w:type="dxa"/>
            <w:vMerge w:val="continue"/>
            <w:tcBorders>
              <w:top w:val="nil"/>
            </w:tcBorders>
          </w:tcPr>
          <w:p>
            <w:pPr>
              <w:pStyle w:val="style0"/>
              <w:rPr>
                <w:sz w:val="2"/>
                <w:szCs w:val="2"/>
              </w:rPr>
            </w:pPr>
          </w:p>
        </w:tc>
        <w:tc>
          <w:tcPr>
            <w:tcW w:w="855" w:type="dxa"/>
            <w:vMerge w:val="continue"/>
            <w:tcBorders>
              <w:top w:val="nil"/>
            </w:tcBorders>
          </w:tcPr>
          <w:p>
            <w:pPr>
              <w:pStyle w:val="style0"/>
              <w:rPr>
                <w:sz w:val="2"/>
                <w:szCs w:val="2"/>
              </w:rPr>
            </w:pPr>
          </w:p>
        </w:tc>
        <w:tc>
          <w:tcPr>
            <w:tcW w:w="711" w:type="dxa"/>
            <w:vMerge w:val="continue"/>
            <w:tcBorders>
              <w:top w:val="nil"/>
              <w:right w:val="nil"/>
            </w:tcBorders>
          </w:tcPr>
          <w:p>
            <w:pPr>
              <w:pStyle w:val="style0"/>
              <w:rPr>
                <w:sz w:val="2"/>
                <w:szCs w:val="2"/>
              </w:rPr>
            </w:pPr>
          </w:p>
        </w:tc>
      </w:tr>
      <w:tr>
        <w:tblPrEx/>
        <w:trPr>
          <w:trHeight w:val="686" w:hRule="atLeast"/>
        </w:trPr>
        <w:tc>
          <w:tcPr>
            <w:tcW w:w="643" w:type="dxa"/>
            <w:vMerge w:val="continue"/>
            <w:tcBorders>
              <w:top w:val="nil"/>
              <w:left w:val="nil"/>
            </w:tcBorders>
          </w:tcPr>
          <w:p>
            <w:pPr>
              <w:pStyle w:val="style0"/>
              <w:rPr>
                <w:sz w:val="2"/>
                <w:szCs w:val="2"/>
              </w:rPr>
            </w:pPr>
          </w:p>
        </w:tc>
        <w:tc>
          <w:tcPr>
            <w:tcW w:w="2105" w:type="dxa"/>
            <w:tcBorders/>
          </w:tcPr>
          <w:p>
            <w:pPr>
              <w:pStyle w:val="style4098"/>
              <w:spacing w:before="4"/>
              <w:rPr>
                <w:sz w:val="16"/>
              </w:rPr>
            </w:pPr>
          </w:p>
          <w:p>
            <w:pPr>
              <w:pStyle w:val="style4098"/>
              <w:ind w:left="213"/>
              <w:rPr>
                <w:sz w:val="21"/>
              </w:rPr>
            </w:pPr>
            <w:r>
              <w:rPr>
                <w:sz w:val="21"/>
              </w:rPr>
              <w:t>野外生存</w:t>
            </w:r>
          </w:p>
        </w:tc>
        <w:tc>
          <w:tcPr>
            <w:tcW w:w="2755" w:type="dxa"/>
            <w:tcBorders/>
          </w:tcPr>
          <w:p>
            <w:pPr>
              <w:pStyle w:val="style4098"/>
              <w:spacing w:before="13" w:lineRule="atLeast" w:line="310"/>
              <w:ind w:left="107" w:right="97"/>
              <w:rPr>
                <w:sz w:val="21"/>
              </w:rPr>
            </w:pPr>
            <w:r>
              <w:rPr>
                <w:sz w:val="21"/>
              </w:rPr>
              <w:t>识别和采集野生食物，寻找水源和鉴别水质，野炊</w:t>
            </w:r>
          </w:p>
        </w:tc>
        <w:tc>
          <w:tcPr>
            <w:tcW w:w="1985" w:type="dxa"/>
            <w:vMerge w:val="continue"/>
            <w:tcBorders>
              <w:top w:val="nil"/>
            </w:tcBorders>
          </w:tcPr>
          <w:p>
            <w:pPr>
              <w:pStyle w:val="style0"/>
              <w:rPr>
                <w:sz w:val="2"/>
                <w:szCs w:val="2"/>
              </w:rPr>
            </w:pPr>
          </w:p>
        </w:tc>
        <w:tc>
          <w:tcPr>
            <w:tcW w:w="855" w:type="dxa"/>
            <w:vMerge w:val="continue"/>
            <w:tcBorders>
              <w:top w:val="nil"/>
            </w:tcBorders>
          </w:tcPr>
          <w:p>
            <w:pPr>
              <w:pStyle w:val="style0"/>
              <w:rPr>
                <w:sz w:val="2"/>
                <w:szCs w:val="2"/>
              </w:rPr>
            </w:pPr>
          </w:p>
        </w:tc>
        <w:tc>
          <w:tcPr>
            <w:tcW w:w="711" w:type="dxa"/>
            <w:vMerge w:val="continue"/>
            <w:tcBorders>
              <w:top w:val="nil"/>
              <w:right w:val="nil"/>
            </w:tcBorders>
          </w:tcPr>
          <w:p>
            <w:pPr>
              <w:pStyle w:val="style0"/>
              <w:rPr>
                <w:sz w:val="2"/>
                <w:szCs w:val="2"/>
              </w:rPr>
            </w:pPr>
          </w:p>
        </w:tc>
      </w:tr>
      <w:tr>
        <w:tblPrEx/>
        <w:trPr>
          <w:trHeight w:val="623" w:hRule="atLeast"/>
        </w:trPr>
        <w:tc>
          <w:tcPr>
            <w:tcW w:w="643" w:type="dxa"/>
            <w:vMerge w:val="continue"/>
            <w:tcBorders>
              <w:top w:val="nil"/>
              <w:left w:val="nil"/>
            </w:tcBorders>
          </w:tcPr>
          <w:p>
            <w:pPr>
              <w:pStyle w:val="style0"/>
              <w:rPr>
                <w:sz w:val="2"/>
                <w:szCs w:val="2"/>
              </w:rPr>
            </w:pPr>
          </w:p>
        </w:tc>
        <w:tc>
          <w:tcPr>
            <w:tcW w:w="2105" w:type="dxa"/>
            <w:tcBorders/>
          </w:tcPr>
          <w:p>
            <w:pPr>
              <w:pStyle w:val="style4098"/>
              <w:spacing w:before="178"/>
              <w:ind w:left="213"/>
              <w:rPr>
                <w:sz w:val="21"/>
              </w:rPr>
            </w:pPr>
            <w:r>
              <w:rPr>
                <w:sz w:val="21"/>
              </w:rPr>
              <w:t>识图用图</w:t>
            </w:r>
          </w:p>
        </w:tc>
        <w:tc>
          <w:tcPr>
            <w:tcW w:w="2755" w:type="dxa"/>
            <w:tcBorders/>
          </w:tcPr>
          <w:p>
            <w:pPr>
              <w:pStyle w:val="style4098"/>
              <w:spacing w:before="22"/>
              <w:ind w:left="107"/>
              <w:rPr>
                <w:sz w:val="21"/>
              </w:rPr>
            </w:pPr>
            <w:r>
              <w:rPr>
                <w:sz w:val="21"/>
              </w:rPr>
              <w:t>地形图基本知识、地图使用</w:t>
            </w:r>
          </w:p>
          <w:p>
            <w:pPr>
              <w:pStyle w:val="style4098"/>
              <w:spacing w:before="43"/>
              <w:ind w:left="107"/>
              <w:rPr>
                <w:sz w:val="21"/>
              </w:rPr>
            </w:pPr>
            <w:r>
              <w:rPr>
                <w:sz w:val="21"/>
              </w:rPr>
              <w:t>训练</w:t>
            </w:r>
          </w:p>
        </w:tc>
        <w:tc>
          <w:tcPr>
            <w:tcW w:w="1985" w:type="dxa"/>
            <w:vMerge w:val="continue"/>
            <w:tcBorders>
              <w:top w:val="nil"/>
            </w:tcBorders>
          </w:tcPr>
          <w:p>
            <w:pPr>
              <w:pStyle w:val="style0"/>
              <w:rPr>
                <w:sz w:val="2"/>
                <w:szCs w:val="2"/>
              </w:rPr>
            </w:pPr>
          </w:p>
        </w:tc>
        <w:tc>
          <w:tcPr>
            <w:tcW w:w="855" w:type="dxa"/>
            <w:vMerge w:val="continue"/>
            <w:tcBorders>
              <w:top w:val="nil"/>
            </w:tcBorders>
          </w:tcPr>
          <w:p>
            <w:pPr>
              <w:pStyle w:val="style0"/>
              <w:rPr>
                <w:sz w:val="2"/>
                <w:szCs w:val="2"/>
              </w:rPr>
            </w:pPr>
          </w:p>
        </w:tc>
        <w:tc>
          <w:tcPr>
            <w:tcW w:w="711" w:type="dxa"/>
            <w:vMerge w:val="continue"/>
            <w:tcBorders>
              <w:top w:val="nil"/>
              <w:right w:val="nil"/>
            </w:tcBorders>
          </w:tcPr>
          <w:p>
            <w:pPr>
              <w:pStyle w:val="style0"/>
              <w:rPr>
                <w:sz w:val="2"/>
                <w:szCs w:val="2"/>
              </w:rPr>
            </w:pPr>
          </w:p>
        </w:tc>
      </w:tr>
      <w:tr>
        <w:tblPrEx/>
        <w:trPr>
          <w:trHeight w:val="726" w:hRule="atLeast"/>
        </w:trPr>
        <w:tc>
          <w:tcPr>
            <w:tcW w:w="643" w:type="dxa"/>
            <w:vMerge w:val="continue"/>
            <w:tcBorders>
              <w:top w:val="nil"/>
              <w:left w:val="nil"/>
            </w:tcBorders>
          </w:tcPr>
          <w:p>
            <w:pPr>
              <w:pStyle w:val="style0"/>
              <w:rPr>
                <w:sz w:val="2"/>
                <w:szCs w:val="2"/>
              </w:rPr>
            </w:pPr>
          </w:p>
        </w:tc>
        <w:tc>
          <w:tcPr>
            <w:tcW w:w="2105" w:type="dxa"/>
            <w:tcBorders/>
          </w:tcPr>
          <w:p>
            <w:pPr>
              <w:pStyle w:val="style4098"/>
              <w:rPr>
                <w:sz w:val="18"/>
              </w:rPr>
            </w:pPr>
          </w:p>
          <w:p>
            <w:pPr>
              <w:pStyle w:val="style4098"/>
              <w:ind w:left="108"/>
              <w:rPr>
                <w:sz w:val="21"/>
              </w:rPr>
            </w:pPr>
            <w:r>
              <w:rPr>
                <w:sz w:val="21"/>
              </w:rPr>
              <w:t>电磁频谱监测</w:t>
            </w:r>
          </w:p>
        </w:tc>
        <w:tc>
          <w:tcPr>
            <w:tcW w:w="2755" w:type="dxa"/>
            <w:tcBorders/>
          </w:tcPr>
          <w:p>
            <w:pPr>
              <w:pStyle w:val="style4098"/>
              <w:spacing w:before="75" w:lineRule="auto" w:line="278"/>
              <w:ind w:left="107" w:right="97"/>
              <w:rPr>
                <w:sz w:val="21"/>
              </w:rPr>
            </w:pPr>
            <w:r>
              <w:rPr>
                <w:sz w:val="21"/>
              </w:rPr>
              <w:t>电磁频谱监测基本知识、方法训练</w:t>
            </w:r>
          </w:p>
        </w:tc>
        <w:tc>
          <w:tcPr>
            <w:tcW w:w="1985" w:type="dxa"/>
            <w:vMerge w:val="continue"/>
            <w:tcBorders>
              <w:top w:val="nil"/>
            </w:tcBorders>
          </w:tcPr>
          <w:p>
            <w:pPr>
              <w:pStyle w:val="style0"/>
              <w:rPr>
                <w:sz w:val="2"/>
                <w:szCs w:val="2"/>
              </w:rPr>
            </w:pPr>
          </w:p>
        </w:tc>
        <w:tc>
          <w:tcPr>
            <w:tcW w:w="855" w:type="dxa"/>
            <w:vMerge w:val="continue"/>
            <w:tcBorders>
              <w:top w:val="nil"/>
            </w:tcBorders>
          </w:tcPr>
          <w:p>
            <w:pPr>
              <w:pStyle w:val="style0"/>
              <w:rPr>
                <w:sz w:val="2"/>
                <w:szCs w:val="2"/>
              </w:rPr>
            </w:pPr>
          </w:p>
        </w:tc>
        <w:tc>
          <w:tcPr>
            <w:tcW w:w="711" w:type="dxa"/>
            <w:vMerge w:val="continue"/>
            <w:tcBorders>
              <w:top w:val="nil"/>
              <w:right w:val="nil"/>
            </w:tcBorders>
          </w:tcPr>
          <w:p>
            <w:pPr>
              <w:pStyle w:val="style0"/>
              <w:rPr>
                <w:sz w:val="2"/>
                <w:szCs w:val="2"/>
              </w:rPr>
            </w:pPr>
          </w:p>
        </w:tc>
      </w:tr>
    </w:tbl>
    <w:p>
      <w:pPr>
        <w:pStyle w:val="style0"/>
        <w:spacing w:before="23"/>
        <w:ind w:left="779" w:right="0" w:firstLine="0"/>
        <w:jc w:val="left"/>
        <w:rPr>
          <w:rFonts w:ascii="楷体" w:eastAsia="楷体" w:hint="eastAsia"/>
          <w:sz w:val="21"/>
        </w:rPr>
      </w:pPr>
      <w:r>
        <w:rPr>
          <w:rFonts w:ascii="楷体" w:eastAsia="楷体" w:hint="eastAsia"/>
          <w:sz w:val="21"/>
        </w:rPr>
        <w:t>注：带</w:t>
      </w:r>
      <w:r>
        <w:rPr>
          <w:rFonts w:ascii="Times New Roman" w:eastAsia="Times New Roman"/>
          <w:sz w:val="21"/>
        </w:rPr>
        <w:t>*</w:t>
      </w:r>
      <w:r>
        <w:rPr>
          <w:rFonts w:ascii="楷体" w:eastAsia="楷体" w:hint="eastAsia"/>
          <w:sz w:val="21"/>
        </w:rPr>
        <w:t xml:space="preserve">的为必训课目，其余为选训课目；训练日按每天 </w:t>
      </w:r>
      <w:r>
        <w:rPr>
          <w:rFonts w:ascii="Times New Roman" w:eastAsia="Times New Roman"/>
          <w:sz w:val="21"/>
        </w:rPr>
        <w:t xml:space="preserve">8 </w:t>
      </w:r>
      <w:r>
        <w:rPr>
          <w:rFonts w:ascii="楷体" w:eastAsia="楷体" w:hint="eastAsia"/>
          <w:sz w:val="21"/>
        </w:rPr>
        <w:t>学时计算。</w:t>
      </w:r>
    </w:p>
    <w:p>
      <w:pPr>
        <w:pStyle w:val="style0"/>
        <w:spacing w:after="0"/>
        <w:jc w:val="left"/>
        <w:rPr>
          <w:rFonts w:ascii="楷体" w:eastAsia="楷体" w:hint="eastAsia"/>
          <w:sz w:val="21"/>
        </w:rPr>
        <w:sectPr>
          <w:pgSz w:w="11910" w:h="16840" w:orient="portrait"/>
          <w:pgMar w:top="1500" w:right="920" w:bottom="1540" w:left="1440" w:header="0" w:footer="1341" w:gutter="0"/>
        </w:sectPr>
      </w:pPr>
    </w:p>
    <w:p>
      <w:pPr>
        <w:pStyle w:val="style66"/>
        <w:spacing w:before="29"/>
        <w:ind w:left="1000"/>
        <w:rPr>
          <w:rFonts w:ascii="黑体" w:eastAsia="黑体" w:hint="eastAsia"/>
        </w:rPr>
      </w:pPr>
      <w:r>
        <w:rPr>
          <w:rFonts w:ascii="黑体" w:eastAsia="黑体" w:hint="eastAsia"/>
        </w:rPr>
        <w:t>五、教师发展</w:t>
      </w:r>
    </w:p>
    <w:p>
      <w:pPr>
        <w:pStyle w:val="style66"/>
        <w:spacing w:before="214" w:lineRule="auto" w:line="364"/>
        <w:ind w:left="359" w:right="870" w:firstLine="640"/>
        <w:jc w:val="both"/>
        <w:rPr/>
      </w:pPr>
      <w:r>
        <w:rPr>
          <w:spacing w:val="13"/>
          <w:w w:val="95"/>
        </w:rPr>
        <w:t xml:space="preserve">军事课教师是完成军事课教学目标的具体执行者和组 </w:t>
      </w:r>
      <w:r>
        <w:rPr>
          <w:spacing w:val="-1"/>
        </w:rPr>
        <w:t>织者，学校应当按照教学时数和授课学生数量配备相应数量</w:t>
      </w:r>
      <w:r>
        <w:rPr>
          <w:spacing w:val="-3"/>
        </w:rPr>
        <w:t>的军事课教师。军队应完善派遣军官制度，按计划派出承训</w:t>
      </w:r>
      <w:r>
        <w:t>力量，军地双方共同完成军事课教学任务。</w:t>
      </w:r>
    </w:p>
    <w:p>
      <w:pPr>
        <w:pStyle w:val="style66"/>
        <w:spacing w:before="3" w:lineRule="auto" w:line="364"/>
        <w:ind w:left="359" w:right="714" w:firstLine="640"/>
        <w:rPr/>
      </w:pPr>
      <w:r>
        <w:rPr>
          <w:spacing w:val="-1"/>
        </w:rPr>
        <w:t>军事课教师必须在政治上从严要求，努力提高自身思想</w:t>
      </w:r>
      <w:r>
        <w:rPr>
          <w:spacing w:val="-14"/>
        </w:rPr>
        <w:t xml:space="preserve">素质、军事素质和业务能力，积极参加教学改革和学术研究， </w:t>
      </w:r>
      <w:r>
        <w:t>不断提高教学质量，开创军事课教学科研工作新局面。</w:t>
      </w:r>
    </w:p>
    <w:p>
      <w:pPr>
        <w:pStyle w:val="style66"/>
        <w:spacing w:before="2" w:lineRule="auto" w:line="364"/>
        <w:ind w:left="359" w:right="872" w:firstLine="640"/>
        <w:jc w:val="both"/>
        <w:rPr/>
      </w:pPr>
      <w:r>
        <w:rPr>
          <w:spacing w:val="-2"/>
        </w:rPr>
        <w:t>各级教育行政部门、军事部门和普通高等学校应当有计划地安排军事课教师接受继续教育和培训，不断改善知识结</w:t>
      </w:r>
      <w:r>
        <w:rPr>
          <w:spacing w:val="-4"/>
        </w:rPr>
        <w:t>构，提高教育教学水平以及学历、学位层次，适应现代高等</w:t>
      </w:r>
      <w:r>
        <w:t>教育和军事课教学科研需要。</w:t>
      </w:r>
    </w:p>
    <w:p>
      <w:pPr>
        <w:pStyle w:val="style66"/>
        <w:spacing w:before="3"/>
        <w:ind w:left="985"/>
        <w:rPr>
          <w:rFonts w:ascii="黑体" w:eastAsia="黑体" w:hint="eastAsia"/>
        </w:rPr>
      </w:pPr>
      <w:r>
        <w:rPr>
          <w:rFonts w:ascii="黑体" w:eastAsia="黑体" w:hint="eastAsia"/>
        </w:rPr>
        <w:t>六、教材建设</w:t>
      </w:r>
    </w:p>
    <w:p>
      <w:pPr>
        <w:pStyle w:val="style66"/>
        <w:spacing w:before="214" w:lineRule="auto" w:line="364"/>
        <w:ind w:left="359" w:right="870" w:firstLine="640"/>
        <w:jc w:val="both"/>
        <w:rPr/>
      </w:pPr>
      <w:r>
        <w:t>建立和完善军事课教材建设、规划、编审管理制度。加强普通高等学校军事教学指导委员会建设，规范军事课教材编写和审查。实行教材准入制度。高校应选用优质教材进行教学，确保教材的政策性、权威性和规范性。</w:t>
      </w:r>
    </w:p>
    <w:p>
      <w:pPr>
        <w:pStyle w:val="style66"/>
        <w:spacing w:before="4"/>
        <w:ind w:left="985"/>
        <w:rPr>
          <w:rFonts w:ascii="黑体" w:eastAsia="黑体" w:hint="eastAsia"/>
        </w:rPr>
      </w:pPr>
      <w:r>
        <w:rPr>
          <w:rFonts w:ascii="黑体" w:eastAsia="黑体" w:hint="eastAsia"/>
        </w:rPr>
        <w:t>七、教学方法</w:t>
      </w:r>
    </w:p>
    <w:p>
      <w:pPr>
        <w:pStyle w:val="style66"/>
        <w:spacing w:before="214" w:lineRule="auto" w:line="364"/>
        <w:ind w:left="359" w:right="870" w:firstLine="640"/>
        <w:jc w:val="both"/>
        <w:rPr/>
      </w:pPr>
      <w:r>
        <w:rPr>
          <w:spacing w:val="13"/>
          <w:w w:val="95"/>
        </w:rPr>
        <w:t xml:space="preserve">坚持课堂教学和教师面授在军事课教学中的主渠道作 </w:t>
      </w:r>
      <w:bookmarkStart w:id="0" w:name="_GoBack"/>
      <w:bookmarkEnd w:id="0"/>
      <w:r>
        <w:rPr>
          <w:spacing w:val="-2"/>
        </w:rPr>
        <w:t>用，重视信息技术和慕课、微课、视频公开课等在线课程在</w:t>
      </w:r>
      <w:r>
        <w:t>教学中的应用和管理。</w:t>
      </w:r>
    </w:p>
    <w:p>
      <w:pPr>
        <w:pStyle w:val="style0"/>
        <w:spacing w:after="0" w:lineRule="auto" w:line="364"/>
        <w:jc w:val="both"/>
        <w:rPr/>
        <w:sectPr>
          <w:pgSz w:w="11910" w:h="16840" w:orient="portrait"/>
          <w:pgMar w:top="1500" w:right="920" w:bottom="1540" w:left="1440" w:header="0" w:footer="1341" w:gutter="0"/>
        </w:sectPr>
      </w:pPr>
    </w:p>
    <w:p>
      <w:pPr>
        <w:pStyle w:val="style66"/>
        <w:spacing w:before="29" w:lineRule="auto" w:line="364"/>
        <w:ind w:left="359" w:right="870" w:firstLine="640"/>
        <w:jc w:val="both"/>
        <w:rPr/>
      </w:pPr>
      <w:r>
        <w:t>军事理论教学进入正常授课课堂，严禁以集中讲座等形式替代课堂教学。军事技能训练应坚持按纲施训、依法治训原则，积极推广仿真训练和模拟训练，严禁违规开展商业化运营和市场化运作。</w:t>
      </w:r>
    </w:p>
    <w:p>
      <w:pPr>
        <w:pStyle w:val="style66"/>
        <w:spacing w:before="3"/>
        <w:ind w:left="1036"/>
        <w:rPr>
          <w:rFonts w:ascii="黑体" w:eastAsia="黑体" w:hint="eastAsia"/>
        </w:rPr>
      </w:pPr>
      <w:r>
        <w:rPr>
          <w:rFonts w:ascii="黑体" w:eastAsia="黑体" w:hint="eastAsia"/>
        </w:rPr>
        <w:t>八、课程考核</w:t>
      </w:r>
    </w:p>
    <w:p>
      <w:pPr>
        <w:pStyle w:val="style66"/>
        <w:spacing w:before="214" w:lineRule="auto" w:line="364"/>
        <w:ind w:left="359" w:right="714" w:firstLine="640"/>
        <w:rPr/>
      </w:pPr>
      <w:r>
        <w:rPr>
          <w:spacing w:val="-1"/>
        </w:rPr>
        <w:t xml:space="preserve">军事课考核包括军事理论考试和军事技能训练考核，成绩合格者计入学分。学校要建立健全军事课考核规章制度， </w:t>
      </w:r>
      <w:r>
        <w:rPr>
          <w:spacing w:val="-2"/>
        </w:rPr>
        <w:t>对考核组织实施程序、方法、标准、要求等进行规范。军事</w:t>
      </w:r>
      <w:r>
        <w:rPr>
          <w:spacing w:val="-4"/>
        </w:rPr>
        <w:t>理论考试由学校组织实施，考试成绩按百分制计分，根据卷面成绩、平时作业、考勤情况和课堂表现综合评定。军事技能训练考核由学校和承训教官共同组织实施，成绩分优秀、</w:t>
      </w:r>
      <w:r>
        <w:rPr>
          <w:spacing w:val="-3"/>
        </w:rPr>
        <w:t>良好、及格和不及格四个等级。根据学生参训时间、现实表</w:t>
      </w:r>
      <w:r>
        <w:rPr>
          <w:spacing w:val="-14"/>
        </w:rPr>
        <w:t xml:space="preserve">现、掌握程度综合评定。军事课成绩不及格者必须进行补考， </w:t>
      </w:r>
      <w:r>
        <w:t>补考合格后取得相应学分。</w:t>
      </w:r>
    </w:p>
    <w:p>
      <w:pPr>
        <w:pStyle w:val="style66"/>
        <w:spacing w:before="7"/>
        <w:ind w:left="1036"/>
        <w:rPr>
          <w:rFonts w:ascii="黑体" w:eastAsia="黑体" w:hint="eastAsia"/>
        </w:rPr>
      </w:pPr>
      <w:r>
        <w:rPr>
          <w:rFonts w:ascii="黑体" w:eastAsia="黑体" w:hint="eastAsia"/>
        </w:rPr>
        <w:t>九、教学保障</w:t>
      </w:r>
    </w:p>
    <w:p>
      <w:pPr>
        <w:pStyle w:val="style66"/>
        <w:spacing w:before="214" w:lineRule="auto" w:line="364"/>
        <w:ind w:left="359" w:right="711" w:firstLine="676"/>
        <w:rPr/>
      </w:pPr>
      <w:r>
        <w:rPr>
          <w:spacing w:val="-3"/>
        </w:rPr>
        <w:t>学校要加强军事课教学的组织保障、经费保障、训练场</w:t>
      </w:r>
      <w:r>
        <w:rPr>
          <w:spacing w:val="-11"/>
        </w:rPr>
        <w:t>地保障。军用装备器材由各省军区</w:t>
      </w:r>
      <w:r>
        <w:t>（</w:t>
      </w:r>
      <w:r>
        <w:rPr>
          <w:spacing w:val="-7"/>
        </w:rPr>
        <w:t>卫戍区、警备区</w:t>
      </w:r>
      <w:r>
        <w:rPr>
          <w:spacing w:val="-44"/>
        </w:rPr>
        <w:t>）</w:t>
      </w:r>
      <w:r>
        <w:t xml:space="preserve">保障； </w:t>
      </w:r>
      <w:r>
        <w:rPr>
          <w:spacing w:val="-1"/>
        </w:rPr>
        <w:t>军民通用装备器材由学校保障，纳入政府年度预算和学校经费保障范畴。</w:t>
      </w:r>
    </w:p>
    <w:p>
      <w:pPr>
        <w:pStyle w:val="style66"/>
        <w:spacing w:before="3"/>
        <w:ind w:left="1036"/>
        <w:rPr>
          <w:rFonts w:ascii="黑体" w:eastAsia="黑体" w:hint="eastAsia"/>
        </w:rPr>
      </w:pPr>
      <w:r>
        <w:rPr>
          <w:rFonts w:ascii="黑体" w:eastAsia="黑体" w:hint="eastAsia"/>
        </w:rPr>
        <w:t>十、督导评价</w:t>
      </w:r>
    </w:p>
    <w:p>
      <w:pPr>
        <w:pStyle w:val="style66"/>
        <w:spacing w:before="214" w:lineRule="auto" w:line="364"/>
        <w:ind w:left="359" w:right="813" w:firstLine="676"/>
        <w:rPr/>
      </w:pPr>
      <w:r>
        <w:t>军事课纳入国家教育督导体系，定期组织军事课建设教育督导。各省级教育行政部门会同军事部门成立军事课教学</w:t>
      </w:r>
    </w:p>
    <w:p>
      <w:pPr>
        <w:pStyle w:val="style0"/>
        <w:spacing w:after="0" w:lineRule="auto" w:line="364"/>
        <w:rPr/>
        <w:sectPr>
          <w:pgSz w:w="11910" w:h="16840" w:orient="portrait"/>
          <w:pgMar w:top="1500" w:right="920" w:bottom="1540" w:left="1440" w:header="0" w:footer="1341" w:gutter="0"/>
        </w:sectPr>
      </w:pPr>
    </w:p>
    <w:p>
      <w:pPr>
        <w:pStyle w:val="style4099"/>
        <w:keepNext w:val="false"/>
        <w:keepLines w:val="false"/>
        <w:widowControl w:val="false"/>
        <w:shd w:val="clear" w:color="auto" w:fill="auto"/>
        <w:bidi w:val="false"/>
        <w:spacing w:before="0" w:after="0"/>
        <w:ind w:left="0" w:right="0" w:firstLine="0"/>
        <w:jc w:val="left"/>
        <w:rPr>
          <w:rFonts w:ascii="宋体" w:cs="宋体" w:eastAsia="宋体" w:hAnsi="宋体"/>
          <w:sz w:val="32"/>
          <w:szCs w:val="32"/>
          <w:u w:val="none"/>
          <w:lang w:val="zh-CN" w:bidi="zh-CN" w:eastAsia="zh-CN"/>
        </w:rPr>
      </w:pPr>
      <w:r>
        <w:rPr>
          <w:rFonts w:ascii="宋体" w:cs="宋体" w:eastAsia="宋体" w:hAnsi="宋体"/>
          <w:sz w:val="32"/>
          <w:szCs w:val="32"/>
          <w:u w:val="none"/>
          <w:lang w:val="zh-CN" w:bidi="zh-CN" w:eastAsia="zh-CN"/>
        </w:rPr>
        <w:t>督导机构，制定本地区的评价方案，定期组织军事课程督导 评价，充分发挥教育督导评价的导向和激励作用。通过定期 举办学生军事训练营等教学展示活动检验军事课教学效果。 各学校要建立军事课程评价体系和管理制度，并将军事课程 评价纳入学校课程评价总体框架、教学质量年度报告和学校 综合办学水平评估。完善高校军事课评价体系，把军事课纳 入高校人才培养工作评估体系，作为办学评价的重要指标。</w:t>
      </w:r>
    </w:p>
    <w:p>
      <w:pPr>
        <w:pStyle w:val="style4100"/>
        <w:keepNext w:val="false"/>
        <w:keepLines w:val="false"/>
        <w:widowControl w:val="false"/>
        <w:shd w:val="clear" w:color="auto" w:fill="auto"/>
        <w:bidi w:val="false"/>
        <w:spacing w:before="0" w:after="60"/>
        <w:ind w:left="0" w:right="0"/>
        <w:jc w:val="left"/>
        <w:rPr>
          <w:rFonts w:ascii="宋体" w:cs="宋体" w:eastAsia="宋体" w:hAnsi="宋体"/>
          <w:sz w:val="32"/>
          <w:szCs w:val="32"/>
          <w:u w:val="none"/>
          <w:lang w:val="zh-CN" w:bidi="zh-CN" w:eastAsia="zh-CN"/>
        </w:rPr>
      </w:pPr>
      <w:r>
        <w:rPr>
          <w:rFonts w:ascii="宋体" w:cs="宋体" w:eastAsia="宋体" w:hAnsi="宋体"/>
          <w:sz w:val="32"/>
          <w:szCs w:val="32"/>
          <w:u w:val="none"/>
          <w:lang w:val="zh-CN" w:bidi="zh-CN" w:eastAsia="zh-CN"/>
        </w:rPr>
        <w:t>十一、附则</w:t>
      </w:r>
    </w:p>
    <w:p>
      <w:pPr>
        <w:pStyle w:val="style4099"/>
        <w:keepNext w:val="false"/>
        <w:keepLines w:val="false"/>
        <w:widowControl w:val="false"/>
        <w:shd w:val="clear" w:color="auto" w:fill="auto"/>
        <w:bidi w:val="false"/>
        <w:spacing w:before="0" w:after="0"/>
        <w:ind w:left="0" w:right="0" w:firstLine="660"/>
        <w:jc w:val="left"/>
        <w:rPr>
          <w:rFonts w:ascii="宋体" w:cs="宋体" w:eastAsia="宋体" w:hAnsi="宋体"/>
          <w:sz w:val="32"/>
          <w:szCs w:val="32"/>
          <w:u w:val="none"/>
          <w:lang w:val="zh-CN" w:bidi="zh-CN" w:eastAsia="zh-CN"/>
        </w:rPr>
      </w:pPr>
      <w:r>
        <w:rPr>
          <w:rFonts w:ascii="宋体" w:cs="宋体" w:eastAsia="宋体" w:hAnsi="宋体"/>
          <w:sz w:val="32"/>
          <w:szCs w:val="32"/>
          <w:u w:val="none"/>
          <w:lang w:val="zh-CN" w:bidi="zh-CN" w:eastAsia="zh-CN"/>
        </w:rPr>
        <w:t>本《大纲》是普通高等学校开展军事课教学的基本依据， 也是军事课教学教材建设和教学评价的重要依据。</w:t>
      </w:r>
    </w:p>
    <w:p>
      <w:pPr>
        <w:pStyle w:val="style4099"/>
        <w:keepNext w:val="false"/>
        <w:keepLines w:val="false"/>
        <w:widowControl w:val="false"/>
        <w:shd w:val="clear" w:color="auto" w:fill="auto"/>
        <w:bidi w:val="false"/>
        <w:spacing w:before="0" w:after="3210"/>
        <w:ind w:left="0" w:right="0" w:firstLine="660"/>
        <w:jc w:val="left"/>
        <w:rPr>
          <w:rFonts w:ascii="宋体" w:cs="宋体" w:eastAsia="宋体" w:hAnsi="宋体"/>
          <w:sz w:val="32"/>
          <w:szCs w:val="32"/>
          <w:u w:val="none"/>
          <w:lang w:val="zh-CN" w:bidi="zh-CN" w:eastAsia="zh-CN"/>
        </w:rPr>
      </w:pPr>
      <w:r>
        <w:rPr>
          <w:rFonts w:ascii="宋体" w:cs="宋体" w:eastAsia="宋体" w:hAnsi="宋体"/>
          <w:sz w:val="32"/>
          <w:szCs w:val="32"/>
          <w:u w:val="none"/>
          <w:lang w:val="zh-CN" w:bidi="zh-CN" w:eastAsia="zh-CN"/>
        </w:rPr>
        <w:t>本《大纲》于2019年8月起在全国施行。原《普通高 等学校军事课教学大纲》</w:t>
      </w:r>
      <w:r>
        <w:rPr>
          <w:rFonts w:ascii="宋体" w:cs="宋体" w:eastAsia="宋体" w:hAnsi="宋体"/>
          <w:sz w:val="32"/>
          <w:szCs w:val="32"/>
          <w:u w:val="none"/>
          <w:lang w:val="en-US" w:bidi="zh-CN" w:eastAsia="en-US"/>
        </w:rPr>
        <w:t>（2006</w:t>
      </w:r>
      <w:r>
        <w:rPr>
          <w:rFonts w:ascii="宋体" w:cs="宋体" w:eastAsia="宋体" w:hAnsi="宋体"/>
          <w:sz w:val="32"/>
          <w:szCs w:val="32"/>
          <w:u w:val="none"/>
          <w:lang w:val="zh-CN" w:bidi="zh-CN" w:eastAsia="zh-CN"/>
        </w:rPr>
        <w:t>年修订）废止。</w:t>
      </w:r>
    </w:p>
    <w:p>
      <w:pPr>
        <w:pStyle w:val="style4101"/>
        <w:keepNext w:val="false"/>
        <w:keepLines w:val="false"/>
        <w:widowControl w:val="false"/>
        <w:pBdr>
          <w:bottom w:val="single" w:sz="4" w:space="1" w:color="auto"/>
        </w:pBdr>
        <w:shd w:val="clear" w:color="auto" w:fill="auto"/>
        <w:bidi w:val="false"/>
        <w:spacing w:before="0" w:after="346"/>
        <w:ind w:left="0" w:right="0" w:firstLine="0"/>
        <w:jc w:val="left"/>
        <w:rPr/>
      </w:pPr>
      <w:r>
        <w:rPr>
          <w:color w:val="000000"/>
          <w:spacing w:val="0"/>
          <w:w w:val="100"/>
          <w:position w:val="0"/>
          <w:sz w:val="24"/>
          <w:szCs w:val="24"/>
          <w:lang w:val="zh-CN" w:bidi="zh-CN" w:eastAsia="zh-CN"/>
        </w:rPr>
        <w:t>（此件主动公开）</w:t>
      </w:r>
    </w:p>
    <w:p>
      <w:pPr>
        <w:pStyle w:val="style4101"/>
        <w:keepNext w:val="false"/>
        <w:keepLines w:val="false"/>
        <w:widowControl w:val="false"/>
        <w:shd w:val="clear" w:color="auto" w:fill="auto"/>
        <w:tabs>
          <w:tab w:val="left" w:leader="underscore" w:pos="1401"/>
          <w:tab w:val="left" w:leader="underscore" w:pos="8372"/>
        </w:tabs>
        <w:bidi w:val="false"/>
        <w:spacing w:before="0" w:after="114" w:lineRule="exact" w:line="308"/>
        <w:ind w:left="0" w:right="0" w:firstLine="0"/>
        <w:jc w:val="left"/>
        <w:rPr/>
      </w:pPr>
      <w:r>
        <w:rPr>
          <w:color w:val="000000"/>
          <w:spacing w:val="0"/>
          <w:w w:val="100"/>
          <w:position w:val="0"/>
          <w:sz w:val="24"/>
          <w:szCs w:val="24"/>
          <w:lang w:val="zh-CN" w:bidi="zh-CN" w:eastAsia="zh-CN"/>
        </w:rPr>
        <w:t xml:space="preserve">抄 送：中央军委联合参谋部、政治工作部、后勤保障部、装备发 展部、训练管理部、改革和编制办公室 部内发送：有关部领导，办公厅、政法司、规划司、综改司、教材局、 职成司、高教司、督导局、教师司、思政司、社科司、科技 </w:t>
      </w:r>
      <w:r>
        <w:rPr>
          <w:rStyle w:val="style4102"/>
          <w:b w:val="false"/>
          <w:bCs w:val="false"/>
          <w:i w:val="false"/>
          <w:iCs w:val="false"/>
          <w:smallCaps w:val="false"/>
        </w:rPr>
        <w:tab/>
      </w:r>
      <w:r>
        <w:rPr>
          <w:rStyle w:val="style4102"/>
          <w:b w:val="false"/>
          <w:bCs w:val="false"/>
          <w:i w:val="false"/>
          <w:iCs w:val="false"/>
          <w:smallCaps w:val="false"/>
        </w:rPr>
        <w:t>司、学生司、学位办</w:t>
      </w:r>
      <w:r>
        <w:rPr>
          <w:rStyle w:val="style4102"/>
          <w:b w:val="false"/>
          <w:bCs w:val="false"/>
          <w:i w:val="false"/>
          <w:iCs w:val="false"/>
          <w:smallCaps w:val="false"/>
        </w:rPr>
        <w:tab/>
      </w:r>
    </w:p>
    <w:p>
      <w:pPr>
        <w:pStyle w:val="style4101"/>
        <w:keepNext w:val="false"/>
        <w:keepLines w:val="false"/>
        <w:widowControl w:val="false"/>
        <w:shd w:val="clear" w:color="auto" w:fill="auto"/>
        <w:tabs>
          <w:tab w:val="left" w:leader="none" w:pos="5446"/>
        </w:tabs>
        <w:bidi w:val="false"/>
        <w:spacing w:before="0" w:after="300"/>
        <w:ind w:left="0" w:right="0" w:firstLine="0"/>
        <w:jc w:val="both"/>
        <w:rPr/>
      </w:pPr>
      <w:r>
        <w:rPr>
          <w:color w:val="000000"/>
          <w:spacing w:val="0"/>
          <w:w w:val="100"/>
          <w:position w:val="0"/>
          <w:sz w:val="24"/>
          <w:szCs w:val="24"/>
          <w:lang w:val="zh-CN" w:bidi="zh-CN" w:eastAsia="zh-CN"/>
        </w:rPr>
        <w:t>教育部办公厅</w:t>
      </w:r>
      <w:r>
        <w:rPr>
          <w:color w:val="000000"/>
          <w:spacing w:val="0"/>
          <w:w w:val="100"/>
          <w:position w:val="0"/>
          <w:sz w:val="24"/>
          <w:szCs w:val="24"/>
          <w:lang w:val="zh-CN" w:bidi="zh-CN" w:eastAsia="zh-CN"/>
        </w:rPr>
        <w:tab/>
      </w:r>
      <w:r>
        <w:rPr>
          <w:color w:val="000000"/>
          <w:spacing w:val="0"/>
          <w:w w:val="100"/>
          <w:position w:val="0"/>
          <w:sz w:val="24"/>
          <w:szCs w:val="24"/>
          <w:lang w:val="zh-CN" w:bidi="zh-CN" w:eastAsia="zh-CN"/>
        </w:rPr>
        <w:t>2019年1月18日印发</w:t>
      </w:r>
    </w:p>
    <w:p>
      <w:pPr>
        <w:pStyle w:val="style4101"/>
        <w:keepNext w:val="false"/>
        <w:keepLines w:val="false"/>
        <w:widowControl w:val="false"/>
        <w:shd w:val="clear" w:color="auto" w:fill="auto"/>
        <w:bidi w:val="false"/>
        <w:spacing w:before="0" w:after="0"/>
        <w:ind w:left="220" w:right="0" w:firstLine="0"/>
        <w:jc w:val="left"/>
        <w:rPr/>
      </w:pPr>
      <w:r>
        <w:rPr>
          <w:color w:val="000000"/>
          <w:spacing w:val="0"/>
          <w:w w:val="100"/>
          <w:position w:val="0"/>
          <w:sz w:val="24"/>
          <w:szCs w:val="24"/>
          <w:lang w:val="zh-CN" w:bidi="zh-CN" w:eastAsia="zh-CN"/>
        </w:rPr>
        <w:t>山东省教育厅办公室 主动公开 2019年4月26日翻印</w:t>
      </w:r>
    </w:p>
    <w:p>
      <w:pPr>
        <w:pStyle w:val="style66"/>
        <w:ind w:left="104"/>
        <w:rPr>
          <w:sz w:val="20"/>
        </w:rPr>
      </w:pPr>
    </w:p>
    <w:sectPr>
      <w:footnotePr>
        <w:numFmt w:val="decimal"/>
      </w:footnotePr>
      <w:pgSz w:w="11909" w:h="16834" w:orient="portrait"/>
      <w:pgMar w:top="1508" w:right="1766" w:bottom="1508" w:left="1766" w:header="0" w:footer="3" w:gutter="0"/>
      <w:cols w:space="720" w:num="1"/>
      <w:rtlGutter w:val="false"/>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86"/>
    <w:family w:val="auto"/>
    <w:pitch w:val="default"/>
    <w:sig w:usb0="E0002AFF" w:usb1="C0007841" w:usb2="00000009" w:usb3="00000000" w:csb0="400001FF" w:csb1="FFFF0000"/>
  </w:font>
  <w:font w:name="宋体">
    <w:altName w:val="宋体"/>
    <w:panose1 w:val="02010600030001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AFF" w:usb1="C0007843"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A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86"/>
    <w:family w:val="swiss"/>
    <w:pitch w:val="default"/>
    <w:sig w:usb0="E10002FF" w:usb1="4000ACFF" w:usb2="00000009" w:usb3="00000000" w:csb0="2000019F" w:csb1="00000000"/>
  </w:font>
  <w:font w:name="楷体">
    <w:altName w:val="楷体"/>
    <w:panose1 w:val="02010609060001010101"/>
    <w:charset w:val="86"/>
    <w:family w:val="modern"/>
    <w:pitch w:val="default"/>
    <w:sig w:usb0="800002BF" w:usb1="38CF7CFA" w:usb2="00000016" w:usb3="00000000" w:csb0="00040001" w:csb1="00000000"/>
  </w:font>
  <w:font w:name="PMingLiU">
    <w:altName w:val="PMingLiU"/>
    <w:panose1 w:val="02020500000000000000"/>
    <w:charset w:val="88"/>
    <w:family w:val="auto"/>
    <w:pitch w:val="default"/>
    <w:sig w:usb0="A00002FF" w:usb1="28CFFCFA" w:usb2="00000016" w:usb3="00000000" w:csb0="00100001"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66"/>
      <w:spacing w:lineRule="auto" w:line="14"/>
      <w:rPr>
        <w:sz w:val="20"/>
      </w:rPr>
    </w:pPr>
    <w:r>
      <w:rPr/>
      <w:pict>
        <v:shape id="4097" type="#_x0000_t202" filled="f" stroked="f" style="position:absolute;margin-left:272.2pt;margin-top:763.8pt;width:51.1pt;height:17.55pt;z-index:-2147483645;mso-position-horizontal-relative:page;mso-position-vertical-relative:page;mso-width-relative:page;mso-height-relative:page;mso-wrap-distance-left:0.0pt;mso-wrap-distance-right:0.0pt;visibility:visible;">
          <v:stroke on="f" joinstyle="miter"/>
          <v:fill/>
          <v:textbox inset="0.0pt,0.0pt,0.0pt,0.0pt">
            <w:txbxContent>
              <w:p>
                <w:pPr>
                  <w:pStyle w:val="style0"/>
                  <w:spacing w:before="0" w:lineRule="exact" w:line="349"/>
                  <w:ind w:left="20" w:right="0" w:firstLine="0"/>
                  <w:jc w:val="left"/>
                  <w:rPr>
                    <w:sz w:val="28"/>
                  </w:rPr>
                </w:pPr>
                <w:r>
                  <w:rPr>
                    <w:sz w:val="28"/>
                  </w:rPr>
                  <w:t xml:space="preserve">— </w:t>
                </w:r>
                <w:r>
                  <w:rPr/>
                  <w:fldChar w:fldCharType="begin"/>
                </w:r>
                <w:r>
                  <w:rPr>
                    <w:rFonts w:ascii="Times New Roman" w:hAnsi="Times New Roman"/>
                    <w:sz w:val="28"/>
                  </w:rPr>
                  <w:instrText xml:space="preserve"> PAGE </w:instrText>
                </w:r>
                <w:r>
                  <w:rPr/>
                  <w:fldChar w:fldCharType="separate"/>
                </w:r>
                <w:r>
                  <w:t>1</w:t>
                </w:r>
                <w:r>
                  <w:rPr/>
                  <w:fldChar w:fldCharType="end"/>
                </w:r>
                <w:r>
                  <w:rPr>
                    <w:rFonts w:ascii="Times New Roman" w:hAnsi="Times New Roman"/>
                    <w:sz w:val="28"/>
                  </w:rPr>
                  <w:t xml:space="preserve"> </w:t>
                </w:r>
                <w:r>
                  <w:rPr>
                    <w:sz w:val="28"/>
                  </w:rPr>
                  <w:t>—</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9239341B"/>
    <w:lvl w:ilvl="0">
      <w:start w:val="0"/>
      <w:numFmt w:val="bullet"/>
      <w:lvlText w:val=""/>
      <w:lvlJc w:val="left"/>
      <w:pPr>
        <w:ind w:left="319" w:hanging="212"/>
      </w:pPr>
      <w:rPr>
        <w:rFonts w:ascii="Symbol" w:cs="Symbol" w:eastAsia="Symbol" w:hAnsi="Symbol" w:hint="default"/>
        <w:w w:val="100"/>
        <w:sz w:val="21"/>
        <w:szCs w:val="21"/>
        <w:lang w:val="zh-CN" w:bidi="zh-CN" w:eastAsia="zh-CN"/>
      </w:rPr>
    </w:lvl>
    <w:lvl w:ilvl="1">
      <w:start w:val="0"/>
      <w:numFmt w:val="bullet"/>
      <w:lvlText w:val="•"/>
      <w:lvlJc w:val="left"/>
      <w:pPr>
        <w:ind w:left="502" w:hanging="212"/>
      </w:pPr>
      <w:rPr>
        <w:rFonts w:hint="default"/>
        <w:lang w:val="zh-CN" w:bidi="zh-CN" w:eastAsia="zh-CN"/>
      </w:rPr>
    </w:lvl>
    <w:lvl w:ilvl="2">
      <w:start w:val="0"/>
      <w:numFmt w:val="bullet"/>
      <w:lvlText w:val="•"/>
      <w:lvlJc w:val="left"/>
      <w:pPr>
        <w:ind w:left="685" w:hanging="212"/>
      </w:pPr>
      <w:rPr>
        <w:rFonts w:hint="default"/>
        <w:lang w:val="zh-CN" w:bidi="zh-CN" w:eastAsia="zh-CN"/>
      </w:rPr>
    </w:lvl>
    <w:lvl w:ilvl="3">
      <w:start w:val="0"/>
      <w:numFmt w:val="bullet"/>
      <w:lvlText w:val="•"/>
      <w:lvlJc w:val="left"/>
      <w:pPr>
        <w:ind w:left="867" w:hanging="212"/>
      </w:pPr>
      <w:rPr>
        <w:rFonts w:hint="default"/>
        <w:lang w:val="zh-CN" w:bidi="zh-CN" w:eastAsia="zh-CN"/>
      </w:rPr>
    </w:lvl>
    <w:lvl w:ilvl="4">
      <w:start w:val="0"/>
      <w:numFmt w:val="bullet"/>
      <w:lvlText w:val="•"/>
      <w:lvlJc w:val="left"/>
      <w:pPr>
        <w:ind w:left="1050" w:hanging="212"/>
      </w:pPr>
      <w:rPr>
        <w:rFonts w:hint="default"/>
        <w:lang w:val="zh-CN" w:bidi="zh-CN" w:eastAsia="zh-CN"/>
      </w:rPr>
    </w:lvl>
    <w:lvl w:ilvl="5">
      <w:start w:val="0"/>
      <w:numFmt w:val="bullet"/>
      <w:lvlText w:val="•"/>
      <w:lvlJc w:val="left"/>
      <w:pPr>
        <w:ind w:left="1232" w:hanging="212"/>
      </w:pPr>
      <w:rPr>
        <w:rFonts w:hint="default"/>
        <w:lang w:val="zh-CN" w:bidi="zh-CN" w:eastAsia="zh-CN"/>
      </w:rPr>
    </w:lvl>
    <w:lvl w:ilvl="6">
      <w:start w:val="0"/>
      <w:numFmt w:val="bullet"/>
      <w:lvlText w:val="•"/>
      <w:lvlJc w:val="left"/>
      <w:pPr>
        <w:ind w:left="1415" w:hanging="212"/>
      </w:pPr>
      <w:rPr>
        <w:rFonts w:hint="default"/>
        <w:lang w:val="zh-CN" w:bidi="zh-CN" w:eastAsia="zh-CN"/>
      </w:rPr>
    </w:lvl>
    <w:lvl w:ilvl="7">
      <w:start w:val="0"/>
      <w:numFmt w:val="bullet"/>
      <w:lvlText w:val="•"/>
      <w:lvlJc w:val="left"/>
      <w:pPr>
        <w:ind w:left="1597" w:hanging="212"/>
      </w:pPr>
      <w:rPr>
        <w:rFonts w:hint="default"/>
        <w:lang w:val="zh-CN" w:bidi="zh-CN" w:eastAsia="zh-CN"/>
      </w:rPr>
    </w:lvl>
    <w:lvl w:ilvl="8">
      <w:start w:val="0"/>
      <w:numFmt w:val="bullet"/>
      <w:lvlText w:val="•"/>
      <w:lvlJc w:val="left"/>
      <w:pPr>
        <w:ind w:left="1780" w:hanging="212"/>
      </w:pPr>
      <w:rPr>
        <w:rFonts w:hint="default"/>
        <w:lang w:val="zh-CN" w:bidi="zh-CN" w:eastAsia="zh-CN"/>
      </w:rPr>
    </w:lvl>
  </w:abstractNum>
  <w:abstractNum w:abstractNumId="1">
    <w:nsid w:val="00000001"/>
    <w:multiLevelType w:val="multilevel"/>
    <w:tmpl w:val="B5E306ED"/>
    <w:lvl w:ilvl="0">
      <w:start w:val="0"/>
      <w:numFmt w:val="bullet"/>
      <w:lvlText w:val=""/>
      <w:lvlJc w:val="left"/>
      <w:pPr>
        <w:ind w:left="319" w:hanging="212"/>
      </w:pPr>
      <w:rPr>
        <w:rFonts w:ascii="Symbol" w:cs="Symbol" w:eastAsia="Symbol" w:hAnsi="Symbol" w:hint="default"/>
        <w:w w:val="100"/>
        <w:sz w:val="21"/>
        <w:szCs w:val="21"/>
        <w:lang w:val="zh-CN" w:bidi="zh-CN" w:eastAsia="zh-CN"/>
      </w:rPr>
    </w:lvl>
    <w:lvl w:ilvl="1">
      <w:start w:val="0"/>
      <w:numFmt w:val="bullet"/>
      <w:lvlText w:val="•"/>
      <w:lvlJc w:val="left"/>
      <w:pPr>
        <w:ind w:left="502" w:hanging="212"/>
      </w:pPr>
      <w:rPr>
        <w:rFonts w:hint="default"/>
        <w:lang w:val="zh-CN" w:bidi="zh-CN" w:eastAsia="zh-CN"/>
      </w:rPr>
    </w:lvl>
    <w:lvl w:ilvl="2">
      <w:start w:val="0"/>
      <w:numFmt w:val="bullet"/>
      <w:lvlText w:val="•"/>
      <w:lvlJc w:val="left"/>
      <w:pPr>
        <w:ind w:left="685" w:hanging="212"/>
      </w:pPr>
      <w:rPr>
        <w:rFonts w:hint="default"/>
        <w:lang w:val="zh-CN" w:bidi="zh-CN" w:eastAsia="zh-CN"/>
      </w:rPr>
    </w:lvl>
    <w:lvl w:ilvl="3">
      <w:start w:val="0"/>
      <w:numFmt w:val="bullet"/>
      <w:lvlText w:val="•"/>
      <w:lvlJc w:val="left"/>
      <w:pPr>
        <w:ind w:left="867" w:hanging="212"/>
      </w:pPr>
      <w:rPr>
        <w:rFonts w:hint="default"/>
        <w:lang w:val="zh-CN" w:bidi="zh-CN" w:eastAsia="zh-CN"/>
      </w:rPr>
    </w:lvl>
    <w:lvl w:ilvl="4">
      <w:start w:val="0"/>
      <w:numFmt w:val="bullet"/>
      <w:lvlText w:val="•"/>
      <w:lvlJc w:val="left"/>
      <w:pPr>
        <w:ind w:left="1050" w:hanging="212"/>
      </w:pPr>
      <w:rPr>
        <w:rFonts w:hint="default"/>
        <w:lang w:val="zh-CN" w:bidi="zh-CN" w:eastAsia="zh-CN"/>
      </w:rPr>
    </w:lvl>
    <w:lvl w:ilvl="5">
      <w:start w:val="0"/>
      <w:numFmt w:val="bullet"/>
      <w:lvlText w:val="•"/>
      <w:lvlJc w:val="left"/>
      <w:pPr>
        <w:ind w:left="1232" w:hanging="212"/>
      </w:pPr>
      <w:rPr>
        <w:rFonts w:hint="default"/>
        <w:lang w:val="zh-CN" w:bidi="zh-CN" w:eastAsia="zh-CN"/>
      </w:rPr>
    </w:lvl>
    <w:lvl w:ilvl="6">
      <w:start w:val="0"/>
      <w:numFmt w:val="bullet"/>
      <w:lvlText w:val="•"/>
      <w:lvlJc w:val="left"/>
      <w:pPr>
        <w:ind w:left="1415" w:hanging="212"/>
      </w:pPr>
      <w:rPr>
        <w:rFonts w:hint="default"/>
        <w:lang w:val="zh-CN" w:bidi="zh-CN" w:eastAsia="zh-CN"/>
      </w:rPr>
    </w:lvl>
    <w:lvl w:ilvl="7">
      <w:start w:val="0"/>
      <w:numFmt w:val="bullet"/>
      <w:lvlText w:val="•"/>
      <w:lvlJc w:val="left"/>
      <w:pPr>
        <w:ind w:left="1597" w:hanging="212"/>
      </w:pPr>
      <w:rPr>
        <w:rFonts w:hint="default"/>
        <w:lang w:val="zh-CN" w:bidi="zh-CN" w:eastAsia="zh-CN"/>
      </w:rPr>
    </w:lvl>
    <w:lvl w:ilvl="8">
      <w:start w:val="0"/>
      <w:numFmt w:val="bullet"/>
      <w:lvlText w:val="•"/>
      <w:lvlJc w:val="left"/>
      <w:pPr>
        <w:ind w:left="1780" w:hanging="212"/>
      </w:pPr>
      <w:rPr>
        <w:rFonts w:hint="default"/>
        <w:lang w:val="zh-CN" w:bidi="zh-CN" w:eastAsia="zh-CN"/>
      </w:rPr>
    </w:lvl>
  </w:abstractNum>
  <w:abstractNum w:abstractNumId="2">
    <w:nsid w:val="00000002"/>
    <w:multiLevelType w:val="multilevel"/>
    <w:tmpl w:val="BF205925"/>
    <w:lvl w:ilvl="0">
      <w:start w:val="0"/>
      <w:numFmt w:val="bullet"/>
      <w:lvlText w:val=""/>
      <w:lvlJc w:val="left"/>
      <w:pPr>
        <w:ind w:left="319" w:hanging="212"/>
      </w:pPr>
      <w:rPr>
        <w:rFonts w:ascii="Symbol" w:cs="Symbol" w:eastAsia="Symbol" w:hAnsi="Symbol" w:hint="default"/>
        <w:w w:val="100"/>
        <w:sz w:val="21"/>
        <w:szCs w:val="21"/>
        <w:lang w:val="zh-CN" w:bidi="zh-CN" w:eastAsia="zh-CN"/>
      </w:rPr>
    </w:lvl>
    <w:lvl w:ilvl="1">
      <w:start w:val="0"/>
      <w:numFmt w:val="bullet"/>
      <w:lvlText w:val="•"/>
      <w:lvlJc w:val="left"/>
      <w:pPr>
        <w:ind w:left="502" w:hanging="212"/>
      </w:pPr>
      <w:rPr>
        <w:rFonts w:hint="default"/>
        <w:lang w:val="zh-CN" w:bidi="zh-CN" w:eastAsia="zh-CN"/>
      </w:rPr>
    </w:lvl>
    <w:lvl w:ilvl="2">
      <w:start w:val="0"/>
      <w:numFmt w:val="bullet"/>
      <w:lvlText w:val="•"/>
      <w:lvlJc w:val="left"/>
      <w:pPr>
        <w:ind w:left="685" w:hanging="212"/>
      </w:pPr>
      <w:rPr>
        <w:rFonts w:hint="default"/>
        <w:lang w:val="zh-CN" w:bidi="zh-CN" w:eastAsia="zh-CN"/>
      </w:rPr>
    </w:lvl>
    <w:lvl w:ilvl="3">
      <w:start w:val="0"/>
      <w:numFmt w:val="bullet"/>
      <w:lvlText w:val="•"/>
      <w:lvlJc w:val="left"/>
      <w:pPr>
        <w:ind w:left="867" w:hanging="212"/>
      </w:pPr>
      <w:rPr>
        <w:rFonts w:hint="default"/>
        <w:lang w:val="zh-CN" w:bidi="zh-CN" w:eastAsia="zh-CN"/>
      </w:rPr>
    </w:lvl>
    <w:lvl w:ilvl="4">
      <w:start w:val="0"/>
      <w:numFmt w:val="bullet"/>
      <w:lvlText w:val="•"/>
      <w:lvlJc w:val="left"/>
      <w:pPr>
        <w:ind w:left="1050" w:hanging="212"/>
      </w:pPr>
      <w:rPr>
        <w:rFonts w:hint="default"/>
        <w:lang w:val="zh-CN" w:bidi="zh-CN" w:eastAsia="zh-CN"/>
      </w:rPr>
    </w:lvl>
    <w:lvl w:ilvl="5">
      <w:start w:val="0"/>
      <w:numFmt w:val="bullet"/>
      <w:lvlText w:val="•"/>
      <w:lvlJc w:val="left"/>
      <w:pPr>
        <w:ind w:left="1232" w:hanging="212"/>
      </w:pPr>
      <w:rPr>
        <w:rFonts w:hint="default"/>
        <w:lang w:val="zh-CN" w:bidi="zh-CN" w:eastAsia="zh-CN"/>
      </w:rPr>
    </w:lvl>
    <w:lvl w:ilvl="6">
      <w:start w:val="0"/>
      <w:numFmt w:val="bullet"/>
      <w:lvlText w:val="•"/>
      <w:lvlJc w:val="left"/>
      <w:pPr>
        <w:ind w:left="1415" w:hanging="212"/>
      </w:pPr>
      <w:rPr>
        <w:rFonts w:hint="default"/>
        <w:lang w:val="zh-CN" w:bidi="zh-CN" w:eastAsia="zh-CN"/>
      </w:rPr>
    </w:lvl>
    <w:lvl w:ilvl="7">
      <w:start w:val="0"/>
      <w:numFmt w:val="bullet"/>
      <w:lvlText w:val="•"/>
      <w:lvlJc w:val="left"/>
      <w:pPr>
        <w:ind w:left="1597" w:hanging="212"/>
      </w:pPr>
      <w:rPr>
        <w:rFonts w:hint="default"/>
        <w:lang w:val="zh-CN" w:bidi="zh-CN" w:eastAsia="zh-CN"/>
      </w:rPr>
    </w:lvl>
    <w:lvl w:ilvl="8">
      <w:start w:val="0"/>
      <w:numFmt w:val="bullet"/>
      <w:lvlText w:val="•"/>
      <w:lvlJc w:val="left"/>
      <w:pPr>
        <w:ind w:left="1780" w:hanging="212"/>
      </w:pPr>
      <w:rPr>
        <w:rFonts w:hint="default"/>
        <w:lang w:val="zh-CN" w:bidi="zh-CN" w:eastAsia="zh-CN"/>
      </w:rPr>
    </w:lvl>
  </w:abstractNum>
  <w:abstractNum w:abstractNumId="3">
    <w:nsid w:val="00000003"/>
    <w:multiLevelType w:val="multilevel"/>
    <w:tmpl w:val="C8879AEF"/>
    <w:lvl w:ilvl="0">
      <w:start w:val="0"/>
      <w:numFmt w:val="bullet"/>
      <w:lvlText w:val=""/>
      <w:lvlJc w:val="left"/>
      <w:pPr>
        <w:ind w:left="319" w:hanging="212"/>
      </w:pPr>
      <w:rPr>
        <w:rFonts w:ascii="Symbol" w:cs="Symbol" w:eastAsia="Symbol" w:hAnsi="Symbol" w:hint="default"/>
        <w:w w:val="100"/>
        <w:sz w:val="21"/>
        <w:szCs w:val="21"/>
        <w:lang w:val="zh-CN" w:bidi="zh-CN" w:eastAsia="zh-CN"/>
      </w:rPr>
    </w:lvl>
    <w:lvl w:ilvl="1">
      <w:start w:val="0"/>
      <w:numFmt w:val="bullet"/>
      <w:lvlText w:val="•"/>
      <w:lvlJc w:val="left"/>
      <w:pPr>
        <w:ind w:left="497" w:hanging="212"/>
      </w:pPr>
      <w:rPr>
        <w:rFonts w:hint="default"/>
        <w:lang w:val="zh-CN" w:bidi="zh-CN" w:eastAsia="zh-CN"/>
      </w:rPr>
    </w:lvl>
    <w:lvl w:ilvl="2">
      <w:start w:val="0"/>
      <w:numFmt w:val="bullet"/>
      <w:lvlText w:val="•"/>
      <w:lvlJc w:val="left"/>
      <w:pPr>
        <w:ind w:left="675" w:hanging="212"/>
      </w:pPr>
      <w:rPr>
        <w:rFonts w:hint="default"/>
        <w:lang w:val="zh-CN" w:bidi="zh-CN" w:eastAsia="zh-CN"/>
      </w:rPr>
    </w:lvl>
    <w:lvl w:ilvl="3">
      <w:start w:val="0"/>
      <w:numFmt w:val="bullet"/>
      <w:lvlText w:val="•"/>
      <w:lvlJc w:val="left"/>
      <w:pPr>
        <w:ind w:left="852" w:hanging="212"/>
      </w:pPr>
      <w:rPr>
        <w:rFonts w:hint="default"/>
        <w:lang w:val="zh-CN" w:bidi="zh-CN" w:eastAsia="zh-CN"/>
      </w:rPr>
    </w:lvl>
    <w:lvl w:ilvl="4">
      <w:start w:val="0"/>
      <w:numFmt w:val="bullet"/>
      <w:lvlText w:val="•"/>
      <w:lvlJc w:val="left"/>
      <w:pPr>
        <w:ind w:left="1030" w:hanging="212"/>
      </w:pPr>
      <w:rPr>
        <w:rFonts w:hint="default"/>
        <w:lang w:val="zh-CN" w:bidi="zh-CN" w:eastAsia="zh-CN"/>
      </w:rPr>
    </w:lvl>
    <w:lvl w:ilvl="5">
      <w:start w:val="0"/>
      <w:numFmt w:val="bullet"/>
      <w:lvlText w:val="•"/>
      <w:lvlJc w:val="left"/>
      <w:pPr>
        <w:ind w:left="1207" w:hanging="212"/>
      </w:pPr>
      <w:rPr>
        <w:rFonts w:hint="default"/>
        <w:lang w:val="zh-CN" w:bidi="zh-CN" w:eastAsia="zh-CN"/>
      </w:rPr>
    </w:lvl>
    <w:lvl w:ilvl="6">
      <w:start w:val="0"/>
      <w:numFmt w:val="bullet"/>
      <w:lvlText w:val="•"/>
      <w:lvlJc w:val="left"/>
      <w:pPr>
        <w:ind w:left="1385" w:hanging="212"/>
      </w:pPr>
      <w:rPr>
        <w:rFonts w:hint="default"/>
        <w:lang w:val="zh-CN" w:bidi="zh-CN" w:eastAsia="zh-CN"/>
      </w:rPr>
    </w:lvl>
    <w:lvl w:ilvl="7">
      <w:start w:val="0"/>
      <w:numFmt w:val="bullet"/>
      <w:lvlText w:val="•"/>
      <w:lvlJc w:val="left"/>
      <w:pPr>
        <w:ind w:left="1562" w:hanging="212"/>
      </w:pPr>
      <w:rPr>
        <w:rFonts w:hint="default"/>
        <w:lang w:val="zh-CN" w:bidi="zh-CN" w:eastAsia="zh-CN"/>
      </w:rPr>
    </w:lvl>
    <w:lvl w:ilvl="8">
      <w:start w:val="0"/>
      <w:numFmt w:val="bullet"/>
      <w:lvlText w:val="•"/>
      <w:lvlJc w:val="left"/>
      <w:pPr>
        <w:ind w:left="1740" w:hanging="212"/>
      </w:pPr>
      <w:rPr>
        <w:rFonts w:hint="default"/>
        <w:lang w:val="zh-CN" w:bidi="zh-CN" w:eastAsia="zh-CN"/>
      </w:rPr>
    </w:lvl>
  </w:abstractNum>
  <w:abstractNum w:abstractNumId="4">
    <w:nsid w:val="00000004"/>
    <w:multiLevelType w:val="multilevel"/>
    <w:tmpl w:val="CF092B84"/>
    <w:lvl w:ilvl="0">
      <w:start w:val="0"/>
      <w:numFmt w:val="bullet"/>
      <w:lvlText w:val=""/>
      <w:lvlJc w:val="left"/>
      <w:pPr>
        <w:ind w:left="319" w:hanging="212"/>
      </w:pPr>
      <w:rPr>
        <w:rFonts w:ascii="Symbol" w:cs="Symbol" w:eastAsia="Symbol" w:hAnsi="Symbol" w:hint="default"/>
        <w:w w:val="100"/>
        <w:sz w:val="21"/>
        <w:szCs w:val="21"/>
        <w:lang w:val="zh-CN" w:bidi="zh-CN" w:eastAsia="zh-CN"/>
      </w:rPr>
    </w:lvl>
    <w:lvl w:ilvl="1">
      <w:start w:val="0"/>
      <w:numFmt w:val="bullet"/>
      <w:lvlText w:val="•"/>
      <w:lvlJc w:val="left"/>
      <w:pPr>
        <w:ind w:left="502" w:hanging="212"/>
      </w:pPr>
      <w:rPr>
        <w:rFonts w:hint="default"/>
        <w:lang w:val="zh-CN" w:bidi="zh-CN" w:eastAsia="zh-CN"/>
      </w:rPr>
    </w:lvl>
    <w:lvl w:ilvl="2">
      <w:start w:val="0"/>
      <w:numFmt w:val="bullet"/>
      <w:lvlText w:val="•"/>
      <w:lvlJc w:val="left"/>
      <w:pPr>
        <w:ind w:left="685" w:hanging="212"/>
      </w:pPr>
      <w:rPr>
        <w:rFonts w:hint="default"/>
        <w:lang w:val="zh-CN" w:bidi="zh-CN" w:eastAsia="zh-CN"/>
      </w:rPr>
    </w:lvl>
    <w:lvl w:ilvl="3">
      <w:start w:val="0"/>
      <w:numFmt w:val="bullet"/>
      <w:lvlText w:val="•"/>
      <w:lvlJc w:val="left"/>
      <w:pPr>
        <w:ind w:left="867" w:hanging="212"/>
      </w:pPr>
      <w:rPr>
        <w:rFonts w:hint="default"/>
        <w:lang w:val="zh-CN" w:bidi="zh-CN" w:eastAsia="zh-CN"/>
      </w:rPr>
    </w:lvl>
    <w:lvl w:ilvl="4">
      <w:start w:val="0"/>
      <w:numFmt w:val="bullet"/>
      <w:lvlText w:val="•"/>
      <w:lvlJc w:val="left"/>
      <w:pPr>
        <w:ind w:left="1050" w:hanging="212"/>
      </w:pPr>
      <w:rPr>
        <w:rFonts w:hint="default"/>
        <w:lang w:val="zh-CN" w:bidi="zh-CN" w:eastAsia="zh-CN"/>
      </w:rPr>
    </w:lvl>
    <w:lvl w:ilvl="5">
      <w:start w:val="0"/>
      <w:numFmt w:val="bullet"/>
      <w:lvlText w:val="•"/>
      <w:lvlJc w:val="left"/>
      <w:pPr>
        <w:ind w:left="1232" w:hanging="212"/>
      </w:pPr>
      <w:rPr>
        <w:rFonts w:hint="default"/>
        <w:lang w:val="zh-CN" w:bidi="zh-CN" w:eastAsia="zh-CN"/>
      </w:rPr>
    </w:lvl>
    <w:lvl w:ilvl="6">
      <w:start w:val="0"/>
      <w:numFmt w:val="bullet"/>
      <w:lvlText w:val="•"/>
      <w:lvlJc w:val="left"/>
      <w:pPr>
        <w:ind w:left="1415" w:hanging="212"/>
      </w:pPr>
      <w:rPr>
        <w:rFonts w:hint="default"/>
        <w:lang w:val="zh-CN" w:bidi="zh-CN" w:eastAsia="zh-CN"/>
      </w:rPr>
    </w:lvl>
    <w:lvl w:ilvl="7">
      <w:start w:val="0"/>
      <w:numFmt w:val="bullet"/>
      <w:lvlText w:val="•"/>
      <w:lvlJc w:val="left"/>
      <w:pPr>
        <w:ind w:left="1597" w:hanging="212"/>
      </w:pPr>
      <w:rPr>
        <w:rFonts w:hint="default"/>
        <w:lang w:val="zh-CN" w:bidi="zh-CN" w:eastAsia="zh-CN"/>
      </w:rPr>
    </w:lvl>
    <w:lvl w:ilvl="8">
      <w:start w:val="0"/>
      <w:numFmt w:val="bullet"/>
      <w:lvlText w:val="•"/>
      <w:lvlJc w:val="left"/>
      <w:pPr>
        <w:ind w:left="1780" w:hanging="212"/>
      </w:pPr>
      <w:rPr>
        <w:rFonts w:hint="default"/>
        <w:lang w:val="zh-CN" w:bidi="zh-CN" w:eastAsia="zh-CN"/>
      </w:rPr>
    </w:lvl>
  </w:abstractNum>
  <w:abstractNum w:abstractNumId="5">
    <w:nsid w:val="00000005"/>
    <w:multiLevelType w:val="multilevel"/>
    <w:tmpl w:val="DCBA6B53"/>
    <w:lvl w:ilvl="0">
      <w:start w:val="0"/>
      <w:numFmt w:val="bullet"/>
      <w:lvlText w:val=""/>
      <w:lvlJc w:val="left"/>
      <w:pPr>
        <w:ind w:left="319" w:hanging="212"/>
      </w:pPr>
      <w:rPr>
        <w:rFonts w:ascii="Symbol" w:cs="Symbol" w:eastAsia="Symbol" w:hAnsi="Symbol" w:hint="default"/>
        <w:w w:val="100"/>
        <w:sz w:val="21"/>
        <w:szCs w:val="21"/>
        <w:lang w:val="zh-CN" w:bidi="zh-CN" w:eastAsia="zh-CN"/>
      </w:rPr>
    </w:lvl>
    <w:lvl w:ilvl="1">
      <w:start w:val="0"/>
      <w:numFmt w:val="bullet"/>
      <w:lvlText w:val="•"/>
      <w:lvlJc w:val="left"/>
      <w:pPr>
        <w:ind w:left="497" w:hanging="212"/>
      </w:pPr>
      <w:rPr>
        <w:rFonts w:hint="default"/>
        <w:lang w:val="zh-CN" w:bidi="zh-CN" w:eastAsia="zh-CN"/>
      </w:rPr>
    </w:lvl>
    <w:lvl w:ilvl="2">
      <w:start w:val="0"/>
      <w:numFmt w:val="bullet"/>
      <w:lvlText w:val="•"/>
      <w:lvlJc w:val="left"/>
      <w:pPr>
        <w:ind w:left="675" w:hanging="212"/>
      </w:pPr>
      <w:rPr>
        <w:rFonts w:hint="default"/>
        <w:lang w:val="zh-CN" w:bidi="zh-CN" w:eastAsia="zh-CN"/>
      </w:rPr>
    </w:lvl>
    <w:lvl w:ilvl="3">
      <w:start w:val="0"/>
      <w:numFmt w:val="bullet"/>
      <w:lvlText w:val="•"/>
      <w:lvlJc w:val="left"/>
      <w:pPr>
        <w:ind w:left="852" w:hanging="212"/>
      </w:pPr>
      <w:rPr>
        <w:rFonts w:hint="default"/>
        <w:lang w:val="zh-CN" w:bidi="zh-CN" w:eastAsia="zh-CN"/>
      </w:rPr>
    </w:lvl>
    <w:lvl w:ilvl="4">
      <w:start w:val="0"/>
      <w:numFmt w:val="bullet"/>
      <w:lvlText w:val="•"/>
      <w:lvlJc w:val="left"/>
      <w:pPr>
        <w:ind w:left="1030" w:hanging="212"/>
      </w:pPr>
      <w:rPr>
        <w:rFonts w:hint="default"/>
        <w:lang w:val="zh-CN" w:bidi="zh-CN" w:eastAsia="zh-CN"/>
      </w:rPr>
    </w:lvl>
    <w:lvl w:ilvl="5">
      <w:start w:val="0"/>
      <w:numFmt w:val="bullet"/>
      <w:lvlText w:val="•"/>
      <w:lvlJc w:val="left"/>
      <w:pPr>
        <w:ind w:left="1207" w:hanging="212"/>
      </w:pPr>
      <w:rPr>
        <w:rFonts w:hint="default"/>
        <w:lang w:val="zh-CN" w:bidi="zh-CN" w:eastAsia="zh-CN"/>
      </w:rPr>
    </w:lvl>
    <w:lvl w:ilvl="6">
      <w:start w:val="0"/>
      <w:numFmt w:val="bullet"/>
      <w:lvlText w:val="•"/>
      <w:lvlJc w:val="left"/>
      <w:pPr>
        <w:ind w:left="1385" w:hanging="212"/>
      </w:pPr>
      <w:rPr>
        <w:rFonts w:hint="default"/>
        <w:lang w:val="zh-CN" w:bidi="zh-CN" w:eastAsia="zh-CN"/>
      </w:rPr>
    </w:lvl>
    <w:lvl w:ilvl="7">
      <w:start w:val="0"/>
      <w:numFmt w:val="bullet"/>
      <w:lvlText w:val="•"/>
      <w:lvlJc w:val="left"/>
      <w:pPr>
        <w:ind w:left="1562" w:hanging="212"/>
      </w:pPr>
      <w:rPr>
        <w:rFonts w:hint="default"/>
        <w:lang w:val="zh-CN" w:bidi="zh-CN" w:eastAsia="zh-CN"/>
      </w:rPr>
    </w:lvl>
    <w:lvl w:ilvl="8">
      <w:start w:val="0"/>
      <w:numFmt w:val="bullet"/>
      <w:lvlText w:val="•"/>
      <w:lvlJc w:val="left"/>
      <w:pPr>
        <w:ind w:left="1740" w:hanging="212"/>
      </w:pPr>
      <w:rPr>
        <w:rFonts w:hint="default"/>
        <w:lang w:val="zh-CN" w:bidi="zh-CN" w:eastAsia="zh-CN"/>
      </w:rPr>
    </w:lvl>
  </w:abstractNum>
  <w:abstractNum w:abstractNumId="6">
    <w:nsid w:val="00000006"/>
    <w:multiLevelType w:val="multilevel"/>
    <w:tmpl w:val="F4B5D9F5"/>
    <w:lvl w:ilvl="0">
      <w:start w:val="0"/>
      <w:numFmt w:val="bullet"/>
      <w:lvlText w:val=""/>
      <w:lvlJc w:val="left"/>
      <w:pPr>
        <w:ind w:left="319" w:hanging="212"/>
      </w:pPr>
      <w:rPr>
        <w:rFonts w:ascii="Symbol" w:cs="Symbol" w:eastAsia="Symbol" w:hAnsi="Symbol" w:hint="default"/>
        <w:w w:val="100"/>
        <w:sz w:val="21"/>
        <w:szCs w:val="21"/>
        <w:lang w:val="zh-CN" w:bidi="zh-CN" w:eastAsia="zh-CN"/>
      </w:rPr>
    </w:lvl>
    <w:lvl w:ilvl="1">
      <w:start w:val="0"/>
      <w:numFmt w:val="bullet"/>
      <w:lvlText w:val="•"/>
      <w:lvlJc w:val="left"/>
      <w:pPr>
        <w:ind w:left="497" w:hanging="212"/>
      </w:pPr>
      <w:rPr>
        <w:rFonts w:hint="default"/>
        <w:lang w:val="zh-CN" w:bidi="zh-CN" w:eastAsia="zh-CN"/>
      </w:rPr>
    </w:lvl>
    <w:lvl w:ilvl="2">
      <w:start w:val="0"/>
      <w:numFmt w:val="bullet"/>
      <w:lvlText w:val="•"/>
      <w:lvlJc w:val="left"/>
      <w:pPr>
        <w:ind w:left="675" w:hanging="212"/>
      </w:pPr>
      <w:rPr>
        <w:rFonts w:hint="default"/>
        <w:lang w:val="zh-CN" w:bidi="zh-CN" w:eastAsia="zh-CN"/>
      </w:rPr>
    </w:lvl>
    <w:lvl w:ilvl="3">
      <w:start w:val="0"/>
      <w:numFmt w:val="bullet"/>
      <w:lvlText w:val="•"/>
      <w:lvlJc w:val="left"/>
      <w:pPr>
        <w:ind w:left="852" w:hanging="212"/>
      </w:pPr>
      <w:rPr>
        <w:rFonts w:hint="default"/>
        <w:lang w:val="zh-CN" w:bidi="zh-CN" w:eastAsia="zh-CN"/>
      </w:rPr>
    </w:lvl>
    <w:lvl w:ilvl="4">
      <w:start w:val="0"/>
      <w:numFmt w:val="bullet"/>
      <w:lvlText w:val="•"/>
      <w:lvlJc w:val="left"/>
      <w:pPr>
        <w:ind w:left="1030" w:hanging="212"/>
      </w:pPr>
      <w:rPr>
        <w:rFonts w:hint="default"/>
        <w:lang w:val="zh-CN" w:bidi="zh-CN" w:eastAsia="zh-CN"/>
      </w:rPr>
    </w:lvl>
    <w:lvl w:ilvl="5">
      <w:start w:val="0"/>
      <w:numFmt w:val="bullet"/>
      <w:lvlText w:val="•"/>
      <w:lvlJc w:val="left"/>
      <w:pPr>
        <w:ind w:left="1207" w:hanging="212"/>
      </w:pPr>
      <w:rPr>
        <w:rFonts w:hint="default"/>
        <w:lang w:val="zh-CN" w:bidi="zh-CN" w:eastAsia="zh-CN"/>
      </w:rPr>
    </w:lvl>
    <w:lvl w:ilvl="6">
      <w:start w:val="0"/>
      <w:numFmt w:val="bullet"/>
      <w:lvlText w:val="•"/>
      <w:lvlJc w:val="left"/>
      <w:pPr>
        <w:ind w:left="1385" w:hanging="212"/>
      </w:pPr>
      <w:rPr>
        <w:rFonts w:hint="default"/>
        <w:lang w:val="zh-CN" w:bidi="zh-CN" w:eastAsia="zh-CN"/>
      </w:rPr>
    </w:lvl>
    <w:lvl w:ilvl="7">
      <w:start w:val="0"/>
      <w:numFmt w:val="bullet"/>
      <w:lvlText w:val="•"/>
      <w:lvlJc w:val="left"/>
      <w:pPr>
        <w:ind w:left="1562" w:hanging="212"/>
      </w:pPr>
      <w:rPr>
        <w:rFonts w:hint="default"/>
        <w:lang w:val="zh-CN" w:bidi="zh-CN" w:eastAsia="zh-CN"/>
      </w:rPr>
    </w:lvl>
    <w:lvl w:ilvl="8">
      <w:start w:val="0"/>
      <w:numFmt w:val="bullet"/>
      <w:lvlText w:val="•"/>
      <w:lvlJc w:val="left"/>
      <w:pPr>
        <w:ind w:left="1740" w:hanging="212"/>
      </w:pPr>
      <w:rPr>
        <w:rFonts w:hint="default"/>
        <w:lang w:val="zh-CN" w:bidi="zh-CN" w:eastAsia="zh-CN"/>
      </w:rPr>
    </w:lvl>
  </w:abstractNum>
  <w:abstractNum w:abstractNumId="7">
    <w:nsid w:val="00000007"/>
    <w:multiLevelType w:val="multilevel"/>
    <w:tmpl w:val="0053208E"/>
    <w:lvl w:ilvl="0">
      <w:start w:val="0"/>
      <w:numFmt w:val="bullet"/>
      <w:lvlText w:val=""/>
      <w:lvlJc w:val="left"/>
      <w:pPr>
        <w:ind w:left="319" w:hanging="212"/>
      </w:pPr>
      <w:rPr>
        <w:rFonts w:ascii="Symbol" w:cs="Symbol" w:eastAsia="Symbol" w:hAnsi="Symbol" w:hint="default"/>
        <w:w w:val="100"/>
        <w:sz w:val="21"/>
        <w:szCs w:val="21"/>
        <w:lang w:val="zh-CN" w:bidi="zh-CN" w:eastAsia="zh-CN"/>
      </w:rPr>
    </w:lvl>
    <w:lvl w:ilvl="1">
      <w:start w:val="0"/>
      <w:numFmt w:val="bullet"/>
      <w:lvlText w:val="•"/>
      <w:lvlJc w:val="left"/>
      <w:pPr>
        <w:ind w:left="502" w:hanging="212"/>
      </w:pPr>
      <w:rPr>
        <w:rFonts w:hint="default"/>
        <w:lang w:val="zh-CN" w:bidi="zh-CN" w:eastAsia="zh-CN"/>
      </w:rPr>
    </w:lvl>
    <w:lvl w:ilvl="2">
      <w:start w:val="0"/>
      <w:numFmt w:val="bullet"/>
      <w:lvlText w:val="•"/>
      <w:lvlJc w:val="left"/>
      <w:pPr>
        <w:ind w:left="685" w:hanging="212"/>
      </w:pPr>
      <w:rPr>
        <w:rFonts w:hint="default"/>
        <w:lang w:val="zh-CN" w:bidi="zh-CN" w:eastAsia="zh-CN"/>
      </w:rPr>
    </w:lvl>
    <w:lvl w:ilvl="3">
      <w:start w:val="0"/>
      <w:numFmt w:val="bullet"/>
      <w:lvlText w:val="•"/>
      <w:lvlJc w:val="left"/>
      <w:pPr>
        <w:ind w:left="867" w:hanging="212"/>
      </w:pPr>
      <w:rPr>
        <w:rFonts w:hint="default"/>
        <w:lang w:val="zh-CN" w:bidi="zh-CN" w:eastAsia="zh-CN"/>
      </w:rPr>
    </w:lvl>
    <w:lvl w:ilvl="4">
      <w:start w:val="0"/>
      <w:numFmt w:val="bullet"/>
      <w:lvlText w:val="•"/>
      <w:lvlJc w:val="left"/>
      <w:pPr>
        <w:ind w:left="1050" w:hanging="212"/>
      </w:pPr>
      <w:rPr>
        <w:rFonts w:hint="default"/>
        <w:lang w:val="zh-CN" w:bidi="zh-CN" w:eastAsia="zh-CN"/>
      </w:rPr>
    </w:lvl>
    <w:lvl w:ilvl="5">
      <w:start w:val="0"/>
      <w:numFmt w:val="bullet"/>
      <w:lvlText w:val="•"/>
      <w:lvlJc w:val="left"/>
      <w:pPr>
        <w:ind w:left="1232" w:hanging="212"/>
      </w:pPr>
      <w:rPr>
        <w:rFonts w:hint="default"/>
        <w:lang w:val="zh-CN" w:bidi="zh-CN" w:eastAsia="zh-CN"/>
      </w:rPr>
    </w:lvl>
    <w:lvl w:ilvl="6">
      <w:start w:val="0"/>
      <w:numFmt w:val="bullet"/>
      <w:lvlText w:val="•"/>
      <w:lvlJc w:val="left"/>
      <w:pPr>
        <w:ind w:left="1415" w:hanging="212"/>
      </w:pPr>
      <w:rPr>
        <w:rFonts w:hint="default"/>
        <w:lang w:val="zh-CN" w:bidi="zh-CN" w:eastAsia="zh-CN"/>
      </w:rPr>
    </w:lvl>
    <w:lvl w:ilvl="7">
      <w:start w:val="0"/>
      <w:numFmt w:val="bullet"/>
      <w:lvlText w:val="•"/>
      <w:lvlJc w:val="left"/>
      <w:pPr>
        <w:ind w:left="1597" w:hanging="212"/>
      </w:pPr>
      <w:rPr>
        <w:rFonts w:hint="default"/>
        <w:lang w:val="zh-CN" w:bidi="zh-CN" w:eastAsia="zh-CN"/>
      </w:rPr>
    </w:lvl>
    <w:lvl w:ilvl="8">
      <w:start w:val="0"/>
      <w:numFmt w:val="bullet"/>
      <w:lvlText w:val="•"/>
      <w:lvlJc w:val="left"/>
      <w:pPr>
        <w:ind w:left="1780" w:hanging="212"/>
      </w:pPr>
      <w:rPr>
        <w:rFonts w:hint="default"/>
        <w:lang w:val="zh-CN" w:bidi="zh-CN" w:eastAsia="zh-CN"/>
      </w:rPr>
    </w:lvl>
  </w:abstractNum>
  <w:abstractNum w:abstractNumId="8">
    <w:nsid w:val="00000008"/>
    <w:multiLevelType w:val="multilevel"/>
    <w:tmpl w:val="0248C179"/>
    <w:lvl w:ilvl="0">
      <w:start w:val="0"/>
      <w:numFmt w:val="bullet"/>
      <w:lvlText w:val=""/>
      <w:lvlJc w:val="left"/>
      <w:pPr>
        <w:ind w:left="319" w:hanging="212"/>
      </w:pPr>
      <w:rPr>
        <w:rFonts w:ascii="Symbol" w:cs="Symbol" w:eastAsia="Symbol" w:hAnsi="Symbol" w:hint="default"/>
        <w:w w:val="100"/>
        <w:sz w:val="21"/>
        <w:szCs w:val="21"/>
        <w:lang w:val="zh-CN" w:bidi="zh-CN" w:eastAsia="zh-CN"/>
      </w:rPr>
    </w:lvl>
    <w:lvl w:ilvl="1">
      <w:start w:val="0"/>
      <w:numFmt w:val="bullet"/>
      <w:lvlText w:val="•"/>
      <w:lvlJc w:val="left"/>
      <w:pPr>
        <w:ind w:left="502" w:hanging="212"/>
      </w:pPr>
      <w:rPr>
        <w:rFonts w:hint="default"/>
        <w:lang w:val="zh-CN" w:bidi="zh-CN" w:eastAsia="zh-CN"/>
      </w:rPr>
    </w:lvl>
    <w:lvl w:ilvl="2">
      <w:start w:val="0"/>
      <w:numFmt w:val="bullet"/>
      <w:lvlText w:val="•"/>
      <w:lvlJc w:val="left"/>
      <w:pPr>
        <w:ind w:left="685" w:hanging="212"/>
      </w:pPr>
      <w:rPr>
        <w:rFonts w:hint="default"/>
        <w:lang w:val="zh-CN" w:bidi="zh-CN" w:eastAsia="zh-CN"/>
      </w:rPr>
    </w:lvl>
    <w:lvl w:ilvl="3">
      <w:start w:val="0"/>
      <w:numFmt w:val="bullet"/>
      <w:lvlText w:val="•"/>
      <w:lvlJc w:val="left"/>
      <w:pPr>
        <w:ind w:left="867" w:hanging="212"/>
      </w:pPr>
      <w:rPr>
        <w:rFonts w:hint="default"/>
        <w:lang w:val="zh-CN" w:bidi="zh-CN" w:eastAsia="zh-CN"/>
      </w:rPr>
    </w:lvl>
    <w:lvl w:ilvl="4">
      <w:start w:val="0"/>
      <w:numFmt w:val="bullet"/>
      <w:lvlText w:val="•"/>
      <w:lvlJc w:val="left"/>
      <w:pPr>
        <w:ind w:left="1050" w:hanging="212"/>
      </w:pPr>
      <w:rPr>
        <w:rFonts w:hint="default"/>
        <w:lang w:val="zh-CN" w:bidi="zh-CN" w:eastAsia="zh-CN"/>
      </w:rPr>
    </w:lvl>
    <w:lvl w:ilvl="5">
      <w:start w:val="0"/>
      <w:numFmt w:val="bullet"/>
      <w:lvlText w:val="•"/>
      <w:lvlJc w:val="left"/>
      <w:pPr>
        <w:ind w:left="1232" w:hanging="212"/>
      </w:pPr>
      <w:rPr>
        <w:rFonts w:hint="default"/>
        <w:lang w:val="zh-CN" w:bidi="zh-CN" w:eastAsia="zh-CN"/>
      </w:rPr>
    </w:lvl>
    <w:lvl w:ilvl="6">
      <w:start w:val="0"/>
      <w:numFmt w:val="bullet"/>
      <w:lvlText w:val="•"/>
      <w:lvlJc w:val="left"/>
      <w:pPr>
        <w:ind w:left="1415" w:hanging="212"/>
      </w:pPr>
      <w:rPr>
        <w:rFonts w:hint="default"/>
        <w:lang w:val="zh-CN" w:bidi="zh-CN" w:eastAsia="zh-CN"/>
      </w:rPr>
    </w:lvl>
    <w:lvl w:ilvl="7">
      <w:start w:val="0"/>
      <w:numFmt w:val="bullet"/>
      <w:lvlText w:val="•"/>
      <w:lvlJc w:val="left"/>
      <w:pPr>
        <w:ind w:left="1597" w:hanging="212"/>
      </w:pPr>
      <w:rPr>
        <w:rFonts w:hint="default"/>
        <w:lang w:val="zh-CN" w:bidi="zh-CN" w:eastAsia="zh-CN"/>
      </w:rPr>
    </w:lvl>
    <w:lvl w:ilvl="8">
      <w:start w:val="0"/>
      <w:numFmt w:val="bullet"/>
      <w:lvlText w:val="•"/>
      <w:lvlJc w:val="left"/>
      <w:pPr>
        <w:ind w:left="1780" w:hanging="212"/>
      </w:pPr>
      <w:rPr>
        <w:rFonts w:hint="default"/>
        <w:lang w:val="zh-CN" w:bidi="zh-CN" w:eastAsia="zh-CN"/>
      </w:rPr>
    </w:lvl>
  </w:abstractNum>
  <w:abstractNum w:abstractNumId="9">
    <w:nsid w:val="00000009"/>
    <w:multiLevelType w:val="multilevel"/>
    <w:tmpl w:val="03D62ECE"/>
    <w:lvl w:ilvl="0">
      <w:start w:val="0"/>
      <w:numFmt w:val="bullet"/>
      <w:lvlText w:val=""/>
      <w:lvlJc w:val="left"/>
      <w:pPr>
        <w:ind w:left="319" w:hanging="212"/>
      </w:pPr>
      <w:rPr>
        <w:rFonts w:ascii="Symbol" w:cs="Symbol" w:eastAsia="Symbol" w:hAnsi="Symbol" w:hint="default"/>
        <w:w w:val="100"/>
        <w:sz w:val="21"/>
        <w:szCs w:val="21"/>
        <w:lang w:val="zh-CN" w:bidi="zh-CN" w:eastAsia="zh-CN"/>
      </w:rPr>
    </w:lvl>
    <w:lvl w:ilvl="1">
      <w:start w:val="0"/>
      <w:numFmt w:val="bullet"/>
      <w:lvlText w:val="•"/>
      <w:lvlJc w:val="left"/>
      <w:pPr>
        <w:ind w:left="502" w:hanging="212"/>
      </w:pPr>
      <w:rPr>
        <w:rFonts w:hint="default"/>
        <w:lang w:val="zh-CN" w:bidi="zh-CN" w:eastAsia="zh-CN"/>
      </w:rPr>
    </w:lvl>
    <w:lvl w:ilvl="2">
      <w:start w:val="0"/>
      <w:numFmt w:val="bullet"/>
      <w:lvlText w:val="•"/>
      <w:lvlJc w:val="left"/>
      <w:pPr>
        <w:ind w:left="685" w:hanging="212"/>
      </w:pPr>
      <w:rPr>
        <w:rFonts w:hint="default"/>
        <w:lang w:val="zh-CN" w:bidi="zh-CN" w:eastAsia="zh-CN"/>
      </w:rPr>
    </w:lvl>
    <w:lvl w:ilvl="3">
      <w:start w:val="0"/>
      <w:numFmt w:val="bullet"/>
      <w:lvlText w:val="•"/>
      <w:lvlJc w:val="left"/>
      <w:pPr>
        <w:ind w:left="867" w:hanging="212"/>
      </w:pPr>
      <w:rPr>
        <w:rFonts w:hint="default"/>
        <w:lang w:val="zh-CN" w:bidi="zh-CN" w:eastAsia="zh-CN"/>
      </w:rPr>
    </w:lvl>
    <w:lvl w:ilvl="4">
      <w:start w:val="0"/>
      <w:numFmt w:val="bullet"/>
      <w:lvlText w:val="•"/>
      <w:lvlJc w:val="left"/>
      <w:pPr>
        <w:ind w:left="1050" w:hanging="212"/>
      </w:pPr>
      <w:rPr>
        <w:rFonts w:hint="default"/>
        <w:lang w:val="zh-CN" w:bidi="zh-CN" w:eastAsia="zh-CN"/>
      </w:rPr>
    </w:lvl>
    <w:lvl w:ilvl="5">
      <w:start w:val="0"/>
      <w:numFmt w:val="bullet"/>
      <w:lvlText w:val="•"/>
      <w:lvlJc w:val="left"/>
      <w:pPr>
        <w:ind w:left="1232" w:hanging="212"/>
      </w:pPr>
      <w:rPr>
        <w:rFonts w:hint="default"/>
        <w:lang w:val="zh-CN" w:bidi="zh-CN" w:eastAsia="zh-CN"/>
      </w:rPr>
    </w:lvl>
    <w:lvl w:ilvl="6">
      <w:start w:val="0"/>
      <w:numFmt w:val="bullet"/>
      <w:lvlText w:val="•"/>
      <w:lvlJc w:val="left"/>
      <w:pPr>
        <w:ind w:left="1415" w:hanging="212"/>
      </w:pPr>
      <w:rPr>
        <w:rFonts w:hint="default"/>
        <w:lang w:val="zh-CN" w:bidi="zh-CN" w:eastAsia="zh-CN"/>
      </w:rPr>
    </w:lvl>
    <w:lvl w:ilvl="7">
      <w:start w:val="0"/>
      <w:numFmt w:val="bullet"/>
      <w:lvlText w:val="•"/>
      <w:lvlJc w:val="left"/>
      <w:pPr>
        <w:ind w:left="1597" w:hanging="212"/>
      </w:pPr>
      <w:rPr>
        <w:rFonts w:hint="default"/>
        <w:lang w:val="zh-CN" w:bidi="zh-CN" w:eastAsia="zh-CN"/>
      </w:rPr>
    </w:lvl>
    <w:lvl w:ilvl="8">
      <w:start w:val="0"/>
      <w:numFmt w:val="bullet"/>
      <w:lvlText w:val="•"/>
      <w:lvlJc w:val="left"/>
      <w:pPr>
        <w:ind w:left="1780" w:hanging="212"/>
      </w:pPr>
      <w:rPr>
        <w:rFonts w:hint="default"/>
        <w:lang w:val="zh-CN" w:bidi="zh-CN" w:eastAsia="zh-CN"/>
      </w:rPr>
    </w:lvl>
  </w:abstractNum>
  <w:abstractNum w:abstractNumId="10">
    <w:nsid w:val="0000000A"/>
    <w:multiLevelType w:val="multilevel"/>
    <w:tmpl w:val="2470EC97"/>
    <w:lvl w:ilvl="0">
      <w:start w:val="0"/>
      <w:numFmt w:val="bullet"/>
      <w:lvlText w:val=""/>
      <w:lvlJc w:val="left"/>
      <w:pPr>
        <w:ind w:left="319" w:hanging="212"/>
      </w:pPr>
      <w:rPr>
        <w:rFonts w:ascii="Symbol" w:cs="Symbol" w:eastAsia="Symbol" w:hAnsi="Symbol" w:hint="default"/>
        <w:w w:val="100"/>
        <w:sz w:val="21"/>
        <w:szCs w:val="21"/>
        <w:lang w:val="zh-CN" w:bidi="zh-CN" w:eastAsia="zh-CN"/>
      </w:rPr>
    </w:lvl>
    <w:lvl w:ilvl="1">
      <w:start w:val="0"/>
      <w:numFmt w:val="bullet"/>
      <w:lvlText w:val="•"/>
      <w:lvlJc w:val="left"/>
      <w:pPr>
        <w:ind w:left="497" w:hanging="212"/>
      </w:pPr>
      <w:rPr>
        <w:rFonts w:hint="default"/>
        <w:lang w:val="zh-CN" w:bidi="zh-CN" w:eastAsia="zh-CN"/>
      </w:rPr>
    </w:lvl>
    <w:lvl w:ilvl="2">
      <w:start w:val="0"/>
      <w:numFmt w:val="bullet"/>
      <w:lvlText w:val="•"/>
      <w:lvlJc w:val="left"/>
      <w:pPr>
        <w:ind w:left="675" w:hanging="212"/>
      </w:pPr>
      <w:rPr>
        <w:rFonts w:hint="default"/>
        <w:lang w:val="zh-CN" w:bidi="zh-CN" w:eastAsia="zh-CN"/>
      </w:rPr>
    </w:lvl>
    <w:lvl w:ilvl="3">
      <w:start w:val="0"/>
      <w:numFmt w:val="bullet"/>
      <w:lvlText w:val="•"/>
      <w:lvlJc w:val="left"/>
      <w:pPr>
        <w:ind w:left="852" w:hanging="212"/>
      </w:pPr>
      <w:rPr>
        <w:rFonts w:hint="default"/>
        <w:lang w:val="zh-CN" w:bidi="zh-CN" w:eastAsia="zh-CN"/>
      </w:rPr>
    </w:lvl>
    <w:lvl w:ilvl="4">
      <w:start w:val="0"/>
      <w:numFmt w:val="bullet"/>
      <w:lvlText w:val="•"/>
      <w:lvlJc w:val="left"/>
      <w:pPr>
        <w:ind w:left="1030" w:hanging="212"/>
      </w:pPr>
      <w:rPr>
        <w:rFonts w:hint="default"/>
        <w:lang w:val="zh-CN" w:bidi="zh-CN" w:eastAsia="zh-CN"/>
      </w:rPr>
    </w:lvl>
    <w:lvl w:ilvl="5">
      <w:start w:val="0"/>
      <w:numFmt w:val="bullet"/>
      <w:lvlText w:val="•"/>
      <w:lvlJc w:val="left"/>
      <w:pPr>
        <w:ind w:left="1207" w:hanging="212"/>
      </w:pPr>
      <w:rPr>
        <w:rFonts w:hint="default"/>
        <w:lang w:val="zh-CN" w:bidi="zh-CN" w:eastAsia="zh-CN"/>
      </w:rPr>
    </w:lvl>
    <w:lvl w:ilvl="6">
      <w:start w:val="0"/>
      <w:numFmt w:val="bullet"/>
      <w:lvlText w:val="•"/>
      <w:lvlJc w:val="left"/>
      <w:pPr>
        <w:ind w:left="1385" w:hanging="212"/>
      </w:pPr>
      <w:rPr>
        <w:rFonts w:hint="default"/>
        <w:lang w:val="zh-CN" w:bidi="zh-CN" w:eastAsia="zh-CN"/>
      </w:rPr>
    </w:lvl>
    <w:lvl w:ilvl="7">
      <w:start w:val="0"/>
      <w:numFmt w:val="bullet"/>
      <w:lvlText w:val="•"/>
      <w:lvlJc w:val="left"/>
      <w:pPr>
        <w:ind w:left="1562" w:hanging="212"/>
      </w:pPr>
      <w:rPr>
        <w:rFonts w:hint="default"/>
        <w:lang w:val="zh-CN" w:bidi="zh-CN" w:eastAsia="zh-CN"/>
      </w:rPr>
    </w:lvl>
    <w:lvl w:ilvl="8">
      <w:start w:val="0"/>
      <w:numFmt w:val="bullet"/>
      <w:lvlText w:val="•"/>
      <w:lvlJc w:val="left"/>
      <w:pPr>
        <w:ind w:left="1740" w:hanging="212"/>
      </w:pPr>
      <w:rPr>
        <w:rFonts w:hint="default"/>
        <w:lang w:val="zh-CN" w:bidi="zh-CN" w:eastAsia="zh-CN"/>
      </w:rPr>
    </w:lvl>
  </w:abstractNum>
  <w:abstractNum w:abstractNumId="11">
    <w:nsid w:val="0000000B"/>
    <w:multiLevelType w:val="multilevel"/>
    <w:tmpl w:val="25B654F3"/>
    <w:lvl w:ilvl="0">
      <w:start w:val="0"/>
      <w:numFmt w:val="bullet"/>
      <w:lvlText w:val=""/>
      <w:lvlJc w:val="left"/>
      <w:pPr>
        <w:ind w:left="319" w:hanging="212"/>
      </w:pPr>
      <w:rPr>
        <w:rFonts w:ascii="Symbol" w:cs="Symbol" w:eastAsia="Symbol" w:hAnsi="Symbol" w:hint="default"/>
        <w:w w:val="100"/>
        <w:sz w:val="21"/>
        <w:szCs w:val="21"/>
        <w:lang w:val="zh-CN" w:bidi="zh-CN" w:eastAsia="zh-CN"/>
      </w:rPr>
    </w:lvl>
    <w:lvl w:ilvl="1">
      <w:start w:val="0"/>
      <w:numFmt w:val="bullet"/>
      <w:lvlText w:val="•"/>
      <w:lvlJc w:val="left"/>
      <w:pPr>
        <w:ind w:left="502" w:hanging="212"/>
      </w:pPr>
      <w:rPr>
        <w:rFonts w:hint="default"/>
        <w:lang w:val="zh-CN" w:bidi="zh-CN" w:eastAsia="zh-CN"/>
      </w:rPr>
    </w:lvl>
    <w:lvl w:ilvl="2">
      <w:start w:val="0"/>
      <w:numFmt w:val="bullet"/>
      <w:lvlText w:val="•"/>
      <w:lvlJc w:val="left"/>
      <w:pPr>
        <w:ind w:left="685" w:hanging="212"/>
      </w:pPr>
      <w:rPr>
        <w:rFonts w:hint="default"/>
        <w:lang w:val="zh-CN" w:bidi="zh-CN" w:eastAsia="zh-CN"/>
      </w:rPr>
    </w:lvl>
    <w:lvl w:ilvl="3">
      <w:start w:val="0"/>
      <w:numFmt w:val="bullet"/>
      <w:lvlText w:val="•"/>
      <w:lvlJc w:val="left"/>
      <w:pPr>
        <w:ind w:left="867" w:hanging="212"/>
      </w:pPr>
      <w:rPr>
        <w:rFonts w:hint="default"/>
        <w:lang w:val="zh-CN" w:bidi="zh-CN" w:eastAsia="zh-CN"/>
      </w:rPr>
    </w:lvl>
    <w:lvl w:ilvl="4">
      <w:start w:val="0"/>
      <w:numFmt w:val="bullet"/>
      <w:lvlText w:val="•"/>
      <w:lvlJc w:val="left"/>
      <w:pPr>
        <w:ind w:left="1050" w:hanging="212"/>
      </w:pPr>
      <w:rPr>
        <w:rFonts w:hint="default"/>
        <w:lang w:val="zh-CN" w:bidi="zh-CN" w:eastAsia="zh-CN"/>
      </w:rPr>
    </w:lvl>
    <w:lvl w:ilvl="5">
      <w:start w:val="0"/>
      <w:numFmt w:val="bullet"/>
      <w:lvlText w:val="•"/>
      <w:lvlJc w:val="left"/>
      <w:pPr>
        <w:ind w:left="1232" w:hanging="212"/>
      </w:pPr>
      <w:rPr>
        <w:rFonts w:hint="default"/>
        <w:lang w:val="zh-CN" w:bidi="zh-CN" w:eastAsia="zh-CN"/>
      </w:rPr>
    </w:lvl>
    <w:lvl w:ilvl="6">
      <w:start w:val="0"/>
      <w:numFmt w:val="bullet"/>
      <w:lvlText w:val="•"/>
      <w:lvlJc w:val="left"/>
      <w:pPr>
        <w:ind w:left="1415" w:hanging="212"/>
      </w:pPr>
      <w:rPr>
        <w:rFonts w:hint="default"/>
        <w:lang w:val="zh-CN" w:bidi="zh-CN" w:eastAsia="zh-CN"/>
      </w:rPr>
    </w:lvl>
    <w:lvl w:ilvl="7">
      <w:start w:val="0"/>
      <w:numFmt w:val="bullet"/>
      <w:lvlText w:val="•"/>
      <w:lvlJc w:val="left"/>
      <w:pPr>
        <w:ind w:left="1597" w:hanging="212"/>
      </w:pPr>
      <w:rPr>
        <w:rFonts w:hint="default"/>
        <w:lang w:val="zh-CN" w:bidi="zh-CN" w:eastAsia="zh-CN"/>
      </w:rPr>
    </w:lvl>
    <w:lvl w:ilvl="8">
      <w:start w:val="0"/>
      <w:numFmt w:val="bullet"/>
      <w:lvlText w:val="•"/>
      <w:lvlJc w:val="left"/>
      <w:pPr>
        <w:ind w:left="1780" w:hanging="212"/>
      </w:pPr>
      <w:rPr>
        <w:rFonts w:hint="default"/>
        <w:lang w:val="zh-CN" w:bidi="zh-CN" w:eastAsia="zh-CN"/>
      </w:rPr>
    </w:lvl>
  </w:abstractNum>
  <w:abstractNum w:abstractNumId="12">
    <w:nsid w:val="0000000C"/>
    <w:multiLevelType w:val="multilevel"/>
    <w:tmpl w:val="2A8F537B"/>
    <w:lvl w:ilvl="0">
      <w:start w:val="0"/>
      <w:numFmt w:val="bullet"/>
      <w:lvlText w:val=""/>
      <w:lvlJc w:val="left"/>
      <w:pPr>
        <w:ind w:left="319" w:hanging="212"/>
      </w:pPr>
      <w:rPr>
        <w:rFonts w:ascii="Symbol" w:cs="Symbol" w:eastAsia="Symbol" w:hAnsi="Symbol" w:hint="default"/>
        <w:w w:val="100"/>
        <w:sz w:val="21"/>
        <w:szCs w:val="21"/>
        <w:lang w:val="zh-CN" w:bidi="zh-CN" w:eastAsia="zh-CN"/>
      </w:rPr>
    </w:lvl>
    <w:lvl w:ilvl="1">
      <w:start w:val="0"/>
      <w:numFmt w:val="bullet"/>
      <w:lvlText w:val="•"/>
      <w:lvlJc w:val="left"/>
      <w:pPr>
        <w:ind w:left="502" w:hanging="212"/>
      </w:pPr>
      <w:rPr>
        <w:rFonts w:hint="default"/>
        <w:lang w:val="zh-CN" w:bidi="zh-CN" w:eastAsia="zh-CN"/>
      </w:rPr>
    </w:lvl>
    <w:lvl w:ilvl="2">
      <w:start w:val="0"/>
      <w:numFmt w:val="bullet"/>
      <w:lvlText w:val="•"/>
      <w:lvlJc w:val="left"/>
      <w:pPr>
        <w:ind w:left="685" w:hanging="212"/>
      </w:pPr>
      <w:rPr>
        <w:rFonts w:hint="default"/>
        <w:lang w:val="zh-CN" w:bidi="zh-CN" w:eastAsia="zh-CN"/>
      </w:rPr>
    </w:lvl>
    <w:lvl w:ilvl="3">
      <w:start w:val="0"/>
      <w:numFmt w:val="bullet"/>
      <w:lvlText w:val="•"/>
      <w:lvlJc w:val="left"/>
      <w:pPr>
        <w:ind w:left="867" w:hanging="212"/>
      </w:pPr>
      <w:rPr>
        <w:rFonts w:hint="default"/>
        <w:lang w:val="zh-CN" w:bidi="zh-CN" w:eastAsia="zh-CN"/>
      </w:rPr>
    </w:lvl>
    <w:lvl w:ilvl="4">
      <w:start w:val="0"/>
      <w:numFmt w:val="bullet"/>
      <w:lvlText w:val="•"/>
      <w:lvlJc w:val="left"/>
      <w:pPr>
        <w:ind w:left="1050" w:hanging="212"/>
      </w:pPr>
      <w:rPr>
        <w:rFonts w:hint="default"/>
        <w:lang w:val="zh-CN" w:bidi="zh-CN" w:eastAsia="zh-CN"/>
      </w:rPr>
    </w:lvl>
    <w:lvl w:ilvl="5">
      <w:start w:val="0"/>
      <w:numFmt w:val="bullet"/>
      <w:lvlText w:val="•"/>
      <w:lvlJc w:val="left"/>
      <w:pPr>
        <w:ind w:left="1232" w:hanging="212"/>
      </w:pPr>
      <w:rPr>
        <w:rFonts w:hint="default"/>
        <w:lang w:val="zh-CN" w:bidi="zh-CN" w:eastAsia="zh-CN"/>
      </w:rPr>
    </w:lvl>
    <w:lvl w:ilvl="6">
      <w:start w:val="0"/>
      <w:numFmt w:val="bullet"/>
      <w:lvlText w:val="•"/>
      <w:lvlJc w:val="left"/>
      <w:pPr>
        <w:ind w:left="1415" w:hanging="212"/>
      </w:pPr>
      <w:rPr>
        <w:rFonts w:hint="default"/>
        <w:lang w:val="zh-CN" w:bidi="zh-CN" w:eastAsia="zh-CN"/>
      </w:rPr>
    </w:lvl>
    <w:lvl w:ilvl="7">
      <w:start w:val="0"/>
      <w:numFmt w:val="bullet"/>
      <w:lvlText w:val="•"/>
      <w:lvlJc w:val="left"/>
      <w:pPr>
        <w:ind w:left="1597" w:hanging="212"/>
      </w:pPr>
      <w:rPr>
        <w:rFonts w:hint="default"/>
        <w:lang w:val="zh-CN" w:bidi="zh-CN" w:eastAsia="zh-CN"/>
      </w:rPr>
    </w:lvl>
    <w:lvl w:ilvl="8">
      <w:start w:val="0"/>
      <w:numFmt w:val="bullet"/>
      <w:lvlText w:val="•"/>
      <w:lvlJc w:val="left"/>
      <w:pPr>
        <w:ind w:left="1780" w:hanging="212"/>
      </w:pPr>
      <w:rPr>
        <w:rFonts w:hint="default"/>
        <w:lang w:val="zh-CN" w:bidi="zh-CN" w:eastAsia="zh-CN"/>
      </w:rPr>
    </w:lvl>
  </w:abstractNum>
  <w:abstractNum w:abstractNumId="13">
    <w:nsid w:val="0000000D"/>
    <w:multiLevelType w:val="multilevel"/>
    <w:tmpl w:val="4D4DC07F"/>
    <w:lvl w:ilvl="0">
      <w:start w:val="0"/>
      <w:numFmt w:val="bullet"/>
      <w:lvlText w:val=""/>
      <w:lvlJc w:val="left"/>
      <w:pPr>
        <w:ind w:left="319" w:hanging="212"/>
      </w:pPr>
      <w:rPr>
        <w:rFonts w:ascii="Symbol" w:cs="Symbol" w:eastAsia="Symbol" w:hAnsi="Symbol" w:hint="default"/>
        <w:w w:val="100"/>
        <w:sz w:val="21"/>
        <w:szCs w:val="21"/>
        <w:lang w:val="zh-CN" w:bidi="zh-CN" w:eastAsia="zh-CN"/>
      </w:rPr>
    </w:lvl>
    <w:lvl w:ilvl="1">
      <w:start w:val="0"/>
      <w:numFmt w:val="bullet"/>
      <w:lvlText w:val="•"/>
      <w:lvlJc w:val="left"/>
      <w:pPr>
        <w:ind w:left="497" w:hanging="212"/>
      </w:pPr>
      <w:rPr>
        <w:rFonts w:hint="default"/>
        <w:lang w:val="zh-CN" w:bidi="zh-CN" w:eastAsia="zh-CN"/>
      </w:rPr>
    </w:lvl>
    <w:lvl w:ilvl="2">
      <w:start w:val="0"/>
      <w:numFmt w:val="bullet"/>
      <w:lvlText w:val="•"/>
      <w:lvlJc w:val="left"/>
      <w:pPr>
        <w:ind w:left="675" w:hanging="212"/>
      </w:pPr>
      <w:rPr>
        <w:rFonts w:hint="default"/>
        <w:lang w:val="zh-CN" w:bidi="zh-CN" w:eastAsia="zh-CN"/>
      </w:rPr>
    </w:lvl>
    <w:lvl w:ilvl="3">
      <w:start w:val="0"/>
      <w:numFmt w:val="bullet"/>
      <w:lvlText w:val="•"/>
      <w:lvlJc w:val="left"/>
      <w:pPr>
        <w:ind w:left="852" w:hanging="212"/>
      </w:pPr>
      <w:rPr>
        <w:rFonts w:hint="default"/>
        <w:lang w:val="zh-CN" w:bidi="zh-CN" w:eastAsia="zh-CN"/>
      </w:rPr>
    </w:lvl>
    <w:lvl w:ilvl="4">
      <w:start w:val="0"/>
      <w:numFmt w:val="bullet"/>
      <w:lvlText w:val="•"/>
      <w:lvlJc w:val="left"/>
      <w:pPr>
        <w:ind w:left="1030" w:hanging="212"/>
      </w:pPr>
      <w:rPr>
        <w:rFonts w:hint="default"/>
        <w:lang w:val="zh-CN" w:bidi="zh-CN" w:eastAsia="zh-CN"/>
      </w:rPr>
    </w:lvl>
    <w:lvl w:ilvl="5">
      <w:start w:val="0"/>
      <w:numFmt w:val="bullet"/>
      <w:lvlText w:val="•"/>
      <w:lvlJc w:val="left"/>
      <w:pPr>
        <w:ind w:left="1207" w:hanging="212"/>
      </w:pPr>
      <w:rPr>
        <w:rFonts w:hint="default"/>
        <w:lang w:val="zh-CN" w:bidi="zh-CN" w:eastAsia="zh-CN"/>
      </w:rPr>
    </w:lvl>
    <w:lvl w:ilvl="6">
      <w:start w:val="0"/>
      <w:numFmt w:val="bullet"/>
      <w:lvlText w:val="•"/>
      <w:lvlJc w:val="left"/>
      <w:pPr>
        <w:ind w:left="1385" w:hanging="212"/>
      </w:pPr>
      <w:rPr>
        <w:rFonts w:hint="default"/>
        <w:lang w:val="zh-CN" w:bidi="zh-CN" w:eastAsia="zh-CN"/>
      </w:rPr>
    </w:lvl>
    <w:lvl w:ilvl="7">
      <w:start w:val="0"/>
      <w:numFmt w:val="bullet"/>
      <w:lvlText w:val="•"/>
      <w:lvlJc w:val="left"/>
      <w:pPr>
        <w:ind w:left="1562" w:hanging="212"/>
      </w:pPr>
      <w:rPr>
        <w:rFonts w:hint="default"/>
        <w:lang w:val="zh-CN" w:bidi="zh-CN" w:eastAsia="zh-CN"/>
      </w:rPr>
    </w:lvl>
    <w:lvl w:ilvl="8">
      <w:start w:val="0"/>
      <w:numFmt w:val="bullet"/>
      <w:lvlText w:val="•"/>
      <w:lvlJc w:val="left"/>
      <w:pPr>
        <w:ind w:left="1740" w:hanging="212"/>
      </w:pPr>
      <w:rPr>
        <w:rFonts w:hint="default"/>
        <w:lang w:val="zh-CN" w:bidi="zh-CN" w:eastAsia="zh-CN"/>
      </w:rPr>
    </w:lvl>
  </w:abstractNum>
  <w:abstractNum w:abstractNumId="14">
    <w:nsid w:val="0000000E"/>
    <w:multiLevelType w:val="multilevel"/>
    <w:tmpl w:val="59ADCABA"/>
    <w:lvl w:ilvl="0">
      <w:start w:val="0"/>
      <w:numFmt w:val="bullet"/>
      <w:lvlText w:val=""/>
      <w:lvlJc w:val="left"/>
      <w:pPr>
        <w:ind w:left="319" w:hanging="212"/>
      </w:pPr>
      <w:rPr>
        <w:rFonts w:ascii="Symbol" w:cs="Symbol" w:eastAsia="Symbol" w:hAnsi="Symbol" w:hint="default"/>
        <w:w w:val="100"/>
        <w:sz w:val="21"/>
        <w:szCs w:val="21"/>
        <w:lang w:val="zh-CN" w:bidi="zh-CN" w:eastAsia="zh-CN"/>
      </w:rPr>
    </w:lvl>
    <w:lvl w:ilvl="1">
      <w:start w:val="0"/>
      <w:numFmt w:val="bullet"/>
      <w:lvlText w:val="•"/>
      <w:lvlJc w:val="left"/>
      <w:pPr>
        <w:ind w:left="502" w:hanging="212"/>
      </w:pPr>
      <w:rPr>
        <w:rFonts w:hint="default"/>
        <w:lang w:val="zh-CN" w:bidi="zh-CN" w:eastAsia="zh-CN"/>
      </w:rPr>
    </w:lvl>
    <w:lvl w:ilvl="2">
      <w:start w:val="0"/>
      <w:numFmt w:val="bullet"/>
      <w:lvlText w:val="•"/>
      <w:lvlJc w:val="left"/>
      <w:pPr>
        <w:ind w:left="685" w:hanging="212"/>
      </w:pPr>
      <w:rPr>
        <w:rFonts w:hint="default"/>
        <w:lang w:val="zh-CN" w:bidi="zh-CN" w:eastAsia="zh-CN"/>
      </w:rPr>
    </w:lvl>
    <w:lvl w:ilvl="3">
      <w:start w:val="0"/>
      <w:numFmt w:val="bullet"/>
      <w:lvlText w:val="•"/>
      <w:lvlJc w:val="left"/>
      <w:pPr>
        <w:ind w:left="867" w:hanging="212"/>
      </w:pPr>
      <w:rPr>
        <w:rFonts w:hint="default"/>
        <w:lang w:val="zh-CN" w:bidi="zh-CN" w:eastAsia="zh-CN"/>
      </w:rPr>
    </w:lvl>
    <w:lvl w:ilvl="4">
      <w:start w:val="0"/>
      <w:numFmt w:val="bullet"/>
      <w:lvlText w:val="•"/>
      <w:lvlJc w:val="left"/>
      <w:pPr>
        <w:ind w:left="1050" w:hanging="212"/>
      </w:pPr>
      <w:rPr>
        <w:rFonts w:hint="default"/>
        <w:lang w:val="zh-CN" w:bidi="zh-CN" w:eastAsia="zh-CN"/>
      </w:rPr>
    </w:lvl>
    <w:lvl w:ilvl="5">
      <w:start w:val="0"/>
      <w:numFmt w:val="bullet"/>
      <w:lvlText w:val="•"/>
      <w:lvlJc w:val="left"/>
      <w:pPr>
        <w:ind w:left="1232" w:hanging="212"/>
      </w:pPr>
      <w:rPr>
        <w:rFonts w:hint="default"/>
        <w:lang w:val="zh-CN" w:bidi="zh-CN" w:eastAsia="zh-CN"/>
      </w:rPr>
    </w:lvl>
    <w:lvl w:ilvl="6">
      <w:start w:val="0"/>
      <w:numFmt w:val="bullet"/>
      <w:lvlText w:val="•"/>
      <w:lvlJc w:val="left"/>
      <w:pPr>
        <w:ind w:left="1415" w:hanging="212"/>
      </w:pPr>
      <w:rPr>
        <w:rFonts w:hint="default"/>
        <w:lang w:val="zh-CN" w:bidi="zh-CN" w:eastAsia="zh-CN"/>
      </w:rPr>
    </w:lvl>
    <w:lvl w:ilvl="7">
      <w:start w:val="0"/>
      <w:numFmt w:val="bullet"/>
      <w:lvlText w:val="•"/>
      <w:lvlJc w:val="left"/>
      <w:pPr>
        <w:ind w:left="1597" w:hanging="212"/>
      </w:pPr>
      <w:rPr>
        <w:rFonts w:hint="default"/>
        <w:lang w:val="zh-CN" w:bidi="zh-CN" w:eastAsia="zh-CN"/>
      </w:rPr>
    </w:lvl>
    <w:lvl w:ilvl="8">
      <w:start w:val="0"/>
      <w:numFmt w:val="bullet"/>
      <w:lvlText w:val="•"/>
      <w:lvlJc w:val="left"/>
      <w:pPr>
        <w:ind w:left="1780" w:hanging="212"/>
      </w:pPr>
      <w:rPr>
        <w:rFonts w:hint="default"/>
        <w:lang w:val="zh-CN" w:bidi="zh-CN" w:eastAsia="zh-CN"/>
      </w:rPr>
    </w:lvl>
  </w:abstractNum>
  <w:abstractNum w:abstractNumId="15">
    <w:nsid w:val="0000000F"/>
    <w:multiLevelType w:val="multilevel"/>
    <w:tmpl w:val="5A241D34"/>
    <w:lvl w:ilvl="0">
      <w:start w:val="0"/>
      <w:numFmt w:val="bullet"/>
      <w:lvlText w:val=""/>
      <w:lvlJc w:val="left"/>
      <w:pPr>
        <w:ind w:left="319" w:hanging="212"/>
      </w:pPr>
      <w:rPr>
        <w:rFonts w:ascii="Symbol" w:cs="Symbol" w:eastAsia="Symbol" w:hAnsi="Symbol" w:hint="default"/>
        <w:w w:val="100"/>
        <w:sz w:val="21"/>
        <w:szCs w:val="21"/>
        <w:lang w:val="zh-CN" w:bidi="zh-CN" w:eastAsia="zh-CN"/>
      </w:rPr>
    </w:lvl>
    <w:lvl w:ilvl="1">
      <w:start w:val="0"/>
      <w:numFmt w:val="bullet"/>
      <w:lvlText w:val="•"/>
      <w:lvlJc w:val="left"/>
      <w:pPr>
        <w:ind w:left="502" w:hanging="212"/>
      </w:pPr>
      <w:rPr>
        <w:rFonts w:hint="default"/>
        <w:lang w:val="zh-CN" w:bidi="zh-CN" w:eastAsia="zh-CN"/>
      </w:rPr>
    </w:lvl>
    <w:lvl w:ilvl="2">
      <w:start w:val="0"/>
      <w:numFmt w:val="bullet"/>
      <w:lvlText w:val="•"/>
      <w:lvlJc w:val="left"/>
      <w:pPr>
        <w:ind w:left="685" w:hanging="212"/>
      </w:pPr>
      <w:rPr>
        <w:rFonts w:hint="default"/>
        <w:lang w:val="zh-CN" w:bidi="zh-CN" w:eastAsia="zh-CN"/>
      </w:rPr>
    </w:lvl>
    <w:lvl w:ilvl="3">
      <w:start w:val="0"/>
      <w:numFmt w:val="bullet"/>
      <w:lvlText w:val="•"/>
      <w:lvlJc w:val="left"/>
      <w:pPr>
        <w:ind w:left="867" w:hanging="212"/>
      </w:pPr>
      <w:rPr>
        <w:rFonts w:hint="default"/>
        <w:lang w:val="zh-CN" w:bidi="zh-CN" w:eastAsia="zh-CN"/>
      </w:rPr>
    </w:lvl>
    <w:lvl w:ilvl="4">
      <w:start w:val="0"/>
      <w:numFmt w:val="bullet"/>
      <w:lvlText w:val="•"/>
      <w:lvlJc w:val="left"/>
      <w:pPr>
        <w:ind w:left="1050" w:hanging="212"/>
      </w:pPr>
      <w:rPr>
        <w:rFonts w:hint="default"/>
        <w:lang w:val="zh-CN" w:bidi="zh-CN" w:eastAsia="zh-CN"/>
      </w:rPr>
    </w:lvl>
    <w:lvl w:ilvl="5">
      <w:start w:val="0"/>
      <w:numFmt w:val="bullet"/>
      <w:lvlText w:val="•"/>
      <w:lvlJc w:val="left"/>
      <w:pPr>
        <w:ind w:left="1232" w:hanging="212"/>
      </w:pPr>
      <w:rPr>
        <w:rFonts w:hint="default"/>
        <w:lang w:val="zh-CN" w:bidi="zh-CN" w:eastAsia="zh-CN"/>
      </w:rPr>
    </w:lvl>
    <w:lvl w:ilvl="6">
      <w:start w:val="0"/>
      <w:numFmt w:val="bullet"/>
      <w:lvlText w:val="•"/>
      <w:lvlJc w:val="left"/>
      <w:pPr>
        <w:ind w:left="1415" w:hanging="212"/>
      </w:pPr>
      <w:rPr>
        <w:rFonts w:hint="default"/>
        <w:lang w:val="zh-CN" w:bidi="zh-CN" w:eastAsia="zh-CN"/>
      </w:rPr>
    </w:lvl>
    <w:lvl w:ilvl="7">
      <w:start w:val="0"/>
      <w:numFmt w:val="bullet"/>
      <w:lvlText w:val="•"/>
      <w:lvlJc w:val="left"/>
      <w:pPr>
        <w:ind w:left="1597" w:hanging="212"/>
      </w:pPr>
      <w:rPr>
        <w:rFonts w:hint="default"/>
        <w:lang w:val="zh-CN" w:bidi="zh-CN" w:eastAsia="zh-CN"/>
      </w:rPr>
    </w:lvl>
    <w:lvl w:ilvl="8">
      <w:start w:val="0"/>
      <w:numFmt w:val="bullet"/>
      <w:lvlText w:val="•"/>
      <w:lvlJc w:val="left"/>
      <w:pPr>
        <w:ind w:left="1780" w:hanging="212"/>
      </w:pPr>
      <w:rPr>
        <w:rFonts w:hint="default"/>
        <w:lang w:val="zh-CN" w:bidi="zh-CN" w:eastAsia="zh-CN"/>
      </w:rPr>
    </w:lvl>
  </w:abstractNum>
  <w:abstractNum w:abstractNumId="16">
    <w:nsid w:val="00000010"/>
    <w:multiLevelType w:val="multilevel"/>
    <w:tmpl w:val="72183CF9"/>
    <w:lvl w:ilvl="0">
      <w:start w:val="0"/>
      <w:numFmt w:val="bullet"/>
      <w:lvlText w:val=""/>
      <w:lvlJc w:val="left"/>
      <w:pPr>
        <w:ind w:left="319" w:hanging="212"/>
      </w:pPr>
      <w:rPr>
        <w:rFonts w:ascii="Symbol" w:cs="Symbol" w:eastAsia="Symbol" w:hAnsi="Symbol" w:hint="default"/>
        <w:w w:val="100"/>
        <w:sz w:val="21"/>
        <w:szCs w:val="21"/>
        <w:lang w:val="zh-CN" w:bidi="zh-CN" w:eastAsia="zh-CN"/>
      </w:rPr>
    </w:lvl>
    <w:lvl w:ilvl="1">
      <w:start w:val="0"/>
      <w:numFmt w:val="bullet"/>
      <w:lvlText w:val="•"/>
      <w:lvlJc w:val="left"/>
      <w:pPr>
        <w:ind w:left="502" w:hanging="212"/>
      </w:pPr>
      <w:rPr>
        <w:rFonts w:hint="default"/>
        <w:lang w:val="zh-CN" w:bidi="zh-CN" w:eastAsia="zh-CN"/>
      </w:rPr>
    </w:lvl>
    <w:lvl w:ilvl="2">
      <w:start w:val="0"/>
      <w:numFmt w:val="bullet"/>
      <w:lvlText w:val="•"/>
      <w:lvlJc w:val="left"/>
      <w:pPr>
        <w:ind w:left="685" w:hanging="212"/>
      </w:pPr>
      <w:rPr>
        <w:rFonts w:hint="default"/>
        <w:lang w:val="zh-CN" w:bidi="zh-CN" w:eastAsia="zh-CN"/>
      </w:rPr>
    </w:lvl>
    <w:lvl w:ilvl="3">
      <w:start w:val="0"/>
      <w:numFmt w:val="bullet"/>
      <w:lvlText w:val="•"/>
      <w:lvlJc w:val="left"/>
      <w:pPr>
        <w:ind w:left="867" w:hanging="212"/>
      </w:pPr>
      <w:rPr>
        <w:rFonts w:hint="default"/>
        <w:lang w:val="zh-CN" w:bidi="zh-CN" w:eastAsia="zh-CN"/>
      </w:rPr>
    </w:lvl>
    <w:lvl w:ilvl="4">
      <w:start w:val="0"/>
      <w:numFmt w:val="bullet"/>
      <w:lvlText w:val="•"/>
      <w:lvlJc w:val="left"/>
      <w:pPr>
        <w:ind w:left="1050" w:hanging="212"/>
      </w:pPr>
      <w:rPr>
        <w:rFonts w:hint="default"/>
        <w:lang w:val="zh-CN" w:bidi="zh-CN" w:eastAsia="zh-CN"/>
      </w:rPr>
    </w:lvl>
    <w:lvl w:ilvl="5">
      <w:start w:val="0"/>
      <w:numFmt w:val="bullet"/>
      <w:lvlText w:val="•"/>
      <w:lvlJc w:val="left"/>
      <w:pPr>
        <w:ind w:left="1232" w:hanging="212"/>
      </w:pPr>
      <w:rPr>
        <w:rFonts w:hint="default"/>
        <w:lang w:val="zh-CN" w:bidi="zh-CN" w:eastAsia="zh-CN"/>
      </w:rPr>
    </w:lvl>
    <w:lvl w:ilvl="6">
      <w:start w:val="0"/>
      <w:numFmt w:val="bullet"/>
      <w:lvlText w:val="•"/>
      <w:lvlJc w:val="left"/>
      <w:pPr>
        <w:ind w:left="1415" w:hanging="212"/>
      </w:pPr>
      <w:rPr>
        <w:rFonts w:hint="default"/>
        <w:lang w:val="zh-CN" w:bidi="zh-CN" w:eastAsia="zh-CN"/>
      </w:rPr>
    </w:lvl>
    <w:lvl w:ilvl="7">
      <w:start w:val="0"/>
      <w:numFmt w:val="bullet"/>
      <w:lvlText w:val="•"/>
      <w:lvlJc w:val="left"/>
      <w:pPr>
        <w:ind w:left="1597" w:hanging="212"/>
      </w:pPr>
      <w:rPr>
        <w:rFonts w:hint="default"/>
        <w:lang w:val="zh-CN" w:bidi="zh-CN" w:eastAsia="zh-CN"/>
      </w:rPr>
    </w:lvl>
    <w:lvl w:ilvl="8">
      <w:start w:val="0"/>
      <w:numFmt w:val="bullet"/>
      <w:lvlText w:val="•"/>
      <w:lvlJc w:val="left"/>
      <w:pPr>
        <w:ind w:left="1780" w:hanging="212"/>
      </w:pPr>
      <w:rPr>
        <w:rFonts w:hint="default"/>
        <w:lang w:val="zh-CN" w:bidi="zh-CN" w:eastAsia="zh-CN"/>
      </w:rPr>
    </w:lvl>
  </w:abstractNum>
  <w:num w:numId="1">
    <w:abstractNumId w:val="7"/>
  </w:num>
  <w:num w:numId="2">
    <w:abstractNumId w:val="4"/>
  </w:num>
  <w:num w:numId="3">
    <w:abstractNumId w:val="14"/>
  </w:num>
  <w:num w:numId="4">
    <w:abstractNumId w:val="2"/>
  </w:num>
  <w:num w:numId="5">
    <w:abstractNumId w:val="1"/>
  </w:num>
  <w:num w:numId="6">
    <w:abstractNumId w:val="9"/>
  </w:num>
  <w:num w:numId="7">
    <w:abstractNumId w:val="11"/>
  </w:num>
  <w:num w:numId="8">
    <w:abstractNumId w:val="16"/>
  </w:num>
  <w:num w:numId="9">
    <w:abstractNumId w:val="8"/>
  </w:num>
  <w:num w:numId="10">
    <w:abstractNumId w:val="0"/>
  </w:num>
  <w:num w:numId="11">
    <w:abstractNumId w:val="12"/>
  </w:num>
  <w:num w:numId="12">
    <w:abstractNumId w:val="15"/>
  </w:num>
  <w:num w:numId="13">
    <w:abstractNumId w:val="3"/>
  </w:num>
  <w:num w:numId="14">
    <w:abstractNumId w:val="13"/>
  </w:num>
  <w:num w:numId="15">
    <w:abstractNumId w:val="6"/>
  </w:num>
  <w:num w:numId="16">
    <w:abstractNumId w:val="10"/>
  </w:num>
  <w:num w:numId="17">
    <w:abstractNumId w:val="5"/>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Times New Roman" w:hAnsi="Times New Roman"/>
      </w:rPr>
    </w:rPrDefault>
    <w:pPrDefault>
      <w:pPr/>
    </w:pPrDefault>
  </w:docDefaults>
  <w:style w:type="paragraph" w:default="1" w:styleId="style0">
    <w:name w:val="Normal"/>
    <w:next w:val="style0"/>
    <w:qFormat/>
    <w:uiPriority w:val="1"/>
    <w:pPr>
      <w:widowControl w:val="false"/>
      <w:autoSpaceDE w:val="false"/>
      <w:autoSpaceDN w:val="false"/>
      <w:spacing w:before="0" w:after="0" w:lineRule="auto" w:line="240"/>
      <w:ind w:left="0" w:right="0"/>
      <w:jc w:val="left"/>
    </w:pPr>
    <w:rPr>
      <w:rFonts w:ascii="宋体" w:cs="宋体" w:eastAsia="宋体" w:hAnsi="宋体"/>
      <w:sz w:val="22"/>
      <w:szCs w:val="22"/>
      <w:lang w:val="zh-CN" w:bidi="zh-CN" w:eastAsia="zh-CN"/>
    </w:rPr>
  </w:style>
  <w:style w:type="paragraph" w:styleId="style1">
    <w:name w:val="heading 1"/>
    <w:basedOn w:val="style0"/>
    <w:next w:val="style0"/>
    <w:qFormat/>
    <w:uiPriority w:val="1"/>
    <w:pPr>
      <w:spacing w:before="24"/>
      <w:ind w:right="515"/>
      <w:jc w:val="center"/>
      <w:outlineLvl w:val="1"/>
    </w:pPr>
    <w:rPr>
      <w:rFonts w:ascii="宋体" w:cs="宋体" w:eastAsia="宋体" w:hAnsi="宋体"/>
      <w:sz w:val="36"/>
      <w:szCs w:val="36"/>
      <w:lang w:val="zh-CN" w:bidi="zh-CN" w:eastAsia="zh-CN"/>
    </w:rPr>
  </w:style>
  <w:style w:type="character" w:default="1" w:styleId="style65">
    <w:name w:val="Default Paragraph Font"/>
    <w:next w:val="style65"/>
    <w:uiPriority w:val="1"/>
  </w:style>
  <w:style w:type="table" w:default="1" w:styleId="style105">
    <w:name w:val="Normal Table"/>
    <w:next w:val="style105"/>
    <w:qFormat/>
    <w:uiPriority w:val="0"/>
    <w:pPr/>
    <w:rPr/>
    <w:tblPr>
      <w:tblLayout w:type="fixed"/>
      <w:tblCellMar>
        <w:top w:w="0" w:type="dxa"/>
        <w:left w:w="108" w:type="dxa"/>
        <w:bottom w:w="0" w:type="dxa"/>
        <w:right w:w="108" w:type="dxa"/>
      </w:tblCellMar>
    </w:tblPr>
    <w:tcPr>
      <w:tcBorders/>
    </w:tcPr>
  </w:style>
  <w:style w:type="paragraph" w:styleId="style66">
    <w:name w:val="Body Text"/>
    <w:basedOn w:val="style0"/>
    <w:next w:val="style66"/>
    <w:qFormat/>
    <w:uiPriority w:val="1"/>
    <w:pPr/>
    <w:rPr>
      <w:rFonts w:ascii="宋体" w:cs="宋体" w:eastAsia="宋体" w:hAnsi="宋体"/>
      <w:sz w:val="32"/>
      <w:szCs w:val="32"/>
      <w:lang w:val="zh-CN" w:bidi="zh-CN" w:eastAsia="zh-CN"/>
    </w:rPr>
  </w:style>
  <w:style w:type="table" w:customStyle="1" w:styleId="style4097">
    <w:name w:val="Table Normal"/>
    <w:next w:val="style4097"/>
    <w:qFormat/>
    <w:uiPriority w:val="2"/>
    <w:pPr/>
    <w:rPr/>
    <w:tblPr>
      <w:tblLayout w:type="fixed"/>
      <w:tblCellMar>
        <w:top w:w="0" w:type="dxa"/>
        <w:left w:w="0" w:type="dxa"/>
        <w:bottom w:w="0" w:type="dxa"/>
        <w:right w:w="0" w:type="dxa"/>
      </w:tblCellMar>
    </w:tblPr>
    <w:tcPr>
      <w:tcBorders/>
    </w:tcPr>
  </w:style>
  <w:style w:type="paragraph" w:styleId="style179">
    <w:name w:val="List Paragraph"/>
    <w:basedOn w:val="style0"/>
    <w:next w:val="style179"/>
    <w:qFormat/>
    <w:uiPriority w:val="1"/>
    <w:pPr/>
    <w:rPr>
      <w:lang w:val="zh-CN" w:bidi="zh-CN" w:eastAsia="zh-CN"/>
    </w:rPr>
  </w:style>
  <w:style w:type="paragraph" w:customStyle="1" w:styleId="style4098">
    <w:name w:val="Table Paragraph"/>
    <w:basedOn w:val="style0"/>
    <w:next w:val="style4098"/>
    <w:qFormat/>
    <w:uiPriority w:val="1"/>
    <w:pPr/>
    <w:rPr>
      <w:rFonts w:ascii="宋体" w:cs="宋体" w:eastAsia="宋体" w:hAnsi="宋体"/>
      <w:lang w:val="zh-CN" w:bidi="zh-CN" w:eastAsia="zh-CN"/>
    </w:rPr>
  </w:style>
  <w:style w:type="paragraph" w:customStyle="1" w:styleId="style4099">
    <w:name w:val="Body text|2"/>
    <w:basedOn w:val="style0"/>
    <w:next w:val="style4099"/>
    <w:qFormat/>
    <w:uiPriority w:val="0"/>
    <w:pPr>
      <w:widowControl w:val="false"/>
      <w:shd w:val="clear" w:color="auto" w:fill="ffffff"/>
      <w:spacing w:lineRule="exact" w:line="602"/>
    </w:pPr>
    <w:rPr>
      <w:rFonts w:ascii="PMingLiU" w:cs="PMingLiU" w:eastAsia="PMingLiU" w:hAnsi="PMingLiU"/>
      <w:sz w:val="30"/>
      <w:szCs w:val="30"/>
      <w:u w:val="none"/>
    </w:rPr>
  </w:style>
  <w:style w:type="paragraph" w:customStyle="1" w:styleId="style4100">
    <w:name w:val="Body text|3"/>
    <w:basedOn w:val="style0"/>
    <w:next w:val="style4100"/>
    <w:qFormat/>
    <w:uiPriority w:val="0"/>
    <w:pPr>
      <w:widowControl w:val="false"/>
      <w:shd w:val="clear" w:color="auto" w:fill="ffffff"/>
      <w:spacing w:after="60" w:lineRule="exact" w:line="602"/>
      <w:ind w:firstLine="660"/>
    </w:pPr>
    <w:rPr>
      <w:rFonts w:ascii="PMingLiU" w:cs="PMingLiU" w:eastAsia="PMingLiU" w:hAnsi="PMingLiU"/>
      <w:sz w:val="28"/>
      <w:szCs w:val="28"/>
      <w:u w:val="none"/>
    </w:rPr>
  </w:style>
  <w:style w:type="paragraph" w:customStyle="1" w:styleId="style4101">
    <w:name w:val="Body text|41"/>
    <w:basedOn w:val="style0"/>
    <w:next w:val="style4101"/>
    <w:link w:val="style4103"/>
    <w:qFormat/>
    <w:uiPriority w:val="0"/>
    <w:pPr>
      <w:widowControl w:val="false"/>
      <w:shd w:val="clear" w:color="auto" w:fill="ffffff"/>
      <w:spacing w:before="2920" w:after="400" w:lineRule="exact" w:line="240"/>
    </w:pPr>
    <w:rPr>
      <w:rFonts w:ascii="PMingLiU" w:cs="PMingLiU" w:eastAsia="PMingLiU" w:hAnsi="PMingLiU"/>
      <w:u w:val="none"/>
    </w:rPr>
  </w:style>
  <w:style w:type="character" w:customStyle="1" w:styleId="style4102">
    <w:name w:val="Body text|4"/>
    <w:basedOn w:val="style4103"/>
    <w:next w:val="style4102"/>
    <w:qFormat/>
    <w:uiPriority w:val="0"/>
    <w:rPr>
      <w:color w:val="000000"/>
      <w:spacing w:val="0"/>
      <w:w w:val="100"/>
      <w:position w:val="0"/>
      <w:sz w:val="24"/>
      <w:szCs w:val="24"/>
      <w:u w:val="single"/>
      <w:lang w:val="zh-CN" w:bidi="zh-CN" w:eastAsia="zh-CN"/>
    </w:rPr>
  </w:style>
  <w:style w:type="character" w:customStyle="1" w:styleId="style4103">
    <w:name w:val="Body text|4_"/>
    <w:basedOn w:val="style65"/>
    <w:next w:val="style4103"/>
    <w:link w:val="style4101"/>
    <w:qFormat/>
    <w:uiPriority w:val="0"/>
    <w:rPr>
      <w:rFonts w:ascii="PMingLiU" w:cs="PMingLiU" w:eastAsia="PMingLiU" w:hAnsi="PMingLiU"/>
      <w:u w:val="non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2049"/>
    <customShpInfo spid="_x0000_s1028"/>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Words>4246</Words>
  <Characters>4295</Characters>
  <Application>WPS Office</Application>
  <DocSecurity>0</DocSecurity>
  <Paragraphs>474</Paragraphs>
  <ScaleCrop>false</ScaleCrop>
  <LinksUpToDate>false</LinksUpToDate>
  <CharactersWithSpaces>4395</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2019-05-07T10:03:00Z</dcterms:created>
  <dc:creator>.q</dc:creator>
  <lastModifiedBy>TAS-AN00</lastModifiedBy>
  <dcterms:modified xsi:type="dcterms:W3CDTF">2020-11-25T01:13:13Z</dcterms:modified>
  <dc:title>Microsoft Word - 教育部 中央军委国防动员部关于印发_br_《普通高等学校军事课教学大纲》的通知_br_</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2019-01-30T00:00:00Z</vt:filetime>
  </property>
  <property fmtid="{D5CDD505-2E9C-101B-9397-08002B2CF9AE}" pid="3" name="Creator">
    <vt:lpwstr>教育部 中央军委国防动员部关于印发_br_《普通高等学校军事课教学大纲》的通知_br_ [兼容模式] - Microsoft</vt:lpwstr>
  </property>
  <property fmtid="{D5CDD505-2E9C-101B-9397-08002B2CF9AE}" pid="4" name="LastSaved">
    <vt:filetime>2019-05-07T00:00:00Z</vt:filetime>
  </property>
  <property fmtid="{D5CDD505-2E9C-101B-9397-08002B2CF9AE}" pid="5" name="KSOProductBuildVer">
    <vt:lpwstr>2052-11.1.0.8612</vt:lpwstr>
  </property>
</Properties>
</file>