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eastAsia="zh-CN"/>
        </w:rPr>
        <w:t>学生端教务</w:t>
      </w:r>
      <w:r>
        <w:rPr>
          <w:rFonts w:hint="eastAsia"/>
          <w:b/>
          <w:bCs/>
          <w:sz w:val="36"/>
          <w:szCs w:val="44"/>
          <w:lang w:val="en-US" w:eastAsia="zh-CN"/>
        </w:rPr>
        <w:t>系统课程替代、学分置换操作流程</w:t>
      </w:r>
      <w:bookmarkEnd w:id="0"/>
    </w:p>
    <w:p>
      <w:pPr>
        <w:jc w:val="center"/>
        <w:rPr>
          <w:rFonts w:hint="eastAsia"/>
          <w:b/>
          <w:bCs/>
          <w:sz w:val="21"/>
          <w:szCs w:val="24"/>
          <w:lang w:eastAsia="zh-CN"/>
        </w:rPr>
      </w:pPr>
    </w:p>
    <w:p>
      <w:pPr>
        <w:jc w:val="both"/>
        <w:rPr>
          <w:rFonts w:hint="eastAsia" w:eastAsia="宋体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一、登陆教务系统</w:t>
      </w:r>
    </w:p>
    <w:p>
      <w:pPr>
        <w:jc w:val="center"/>
      </w:pPr>
      <w:r>
        <w:drawing>
          <wp:inline distT="0" distB="0" distL="114300" distR="114300">
            <wp:extent cx="3333115" cy="1800860"/>
            <wp:effectExtent l="0" t="0" r="63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l="4701" t="2730" r="3255" b="3413"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174625</wp:posOffset>
                </wp:positionV>
                <wp:extent cx="399415" cy="111760"/>
                <wp:effectExtent l="6350" t="15240" r="13335" b="2540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1.75pt;margin-top:13.75pt;height:8.8pt;width:31.45pt;z-index:251660288;v-text-anchor:middle;mso-width-relative:page;mso-height-relative:page;" fillcolor="#5B9BD5 [3204]" filled="t" stroked="t" coordsize="21600,21600" o:gfxdata="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Vkw2L2gAA&#10;AAkBAAAPAAAAAAAAAAEAIAAAACIAAABkcnMvZG93bnJldi54bWxQSwECFAAUAAAACACHTuJA0394&#10;c44CAAAfBQAADgAAAAAAAAABACAAAAApAQAAZHJzL2Uyb0RvYy54bWxQSwUGAAAAAAYABgBZAQAA&#10;KQYAAAAA&#10;" adj="1857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160655</wp:posOffset>
                </wp:positionV>
                <wp:extent cx="399415" cy="111760"/>
                <wp:effectExtent l="6350" t="15240" r="13335" b="2540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930" y="4674870"/>
                          <a:ext cx="399415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3.6pt;margin-top:12.65pt;height:8.8pt;width:31.45pt;z-index:251659264;v-text-anchor:middle;mso-width-relative:page;mso-height-relative:page;" fillcolor="#5B9BD5 [3204]" filled="t" stroked="t" coordsize="21600,21600" o:gfxdata="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NmkA42gAAAAkBAAAPAAAAAAAAAAEAIAAAACIAAABkcnMvZG93bnJldi54bWxQSwECFAAU&#10;AAAACACHTuJA9b/y0ZoCAAArBQAADgAAAAAAAAABACAAAAApAQAAZHJzL2Uyb0RvYy54bWxQSwUG&#10;AAAAAAYABgBZAQAANQYAAAAA&#10;" adj="1857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8"/>
          <w:szCs w:val="36"/>
          <w:lang w:val="en-US" w:eastAsia="zh-CN"/>
        </w:rPr>
        <w:t>二、依次点击“学籍成绩”   “我的成绩”    “成绩认定”</w:t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940435" cy="1548765"/>
            <wp:effectExtent l="0" t="0" r="1206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b="28424"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申请</w:t>
      </w:r>
    </w:p>
    <w:p>
      <w:pPr>
        <w:numPr>
          <w:ilvl w:val="0"/>
          <w:numId w:val="0"/>
        </w:numPr>
      </w:pPr>
    </w:p>
    <w:p>
      <w:pPr>
        <w:numPr>
          <w:ilvl w:val="0"/>
          <w:numId w:val="2"/>
        </w:numPr>
        <w:ind w:firstLine="482" w:firstLineChars="200"/>
        <w:jc w:val="both"/>
        <w:rPr>
          <w:rFonts w:hint="eastAsia"/>
          <w:b/>
          <w:bCs/>
          <w:sz w:val="24"/>
          <w:szCs w:val="32"/>
          <w:highlight w:val="red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red"/>
          <w:lang w:val="en-US" w:eastAsia="zh-CN"/>
        </w:rPr>
        <w:t>课程替代操作流程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jc w:val="center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drawing>
          <wp:inline distT="0" distB="0" distL="114300" distR="114300">
            <wp:extent cx="3831590" cy="836295"/>
            <wp:effectExtent l="0" t="0" r="1651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rcRect t="7330" b="22762"/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下图是显示的课程申请页面，左侧是已经修读的课程，右侧是培养方案中的课程。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4711700" cy="1837690"/>
            <wp:effectExtent l="0" t="0" r="12700" b="1016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在左侧已修课程中，选择需要即将被替代的课程，在课程信息前“□”勾选“√”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在右侧未修课程中，选择目标课程，在课程信息前“□”勾选“√”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选定课程后，点击“替代”按钮，提示成功后，继续点击“确定”按钮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596255" cy="1532255"/>
            <wp:effectExtent l="0" t="0" r="4445" b="10795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l="13673" t="-1253" b="34022"/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最后点击“送审”按钮，选择对应学院审核领导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eastAsia="zh-CN"/>
        </w:rPr>
      </w:pPr>
    </w:p>
    <w:p>
      <w:pPr>
        <w:numPr>
          <w:ilvl w:val="0"/>
          <w:numId w:val="2"/>
        </w:numPr>
        <w:ind w:left="0" w:leftChars="0" w:firstLine="482" w:firstLineChars="200"/>
        <w:jc w:val="both"/>
        <w:rPr>
          <w:rFonts w:hint="eastAsia"/>
          <w:b/>
          <w:bCs/>
          <w:sz w:val="24"/>
          <w:szCs w:val="32"/>
          <w:highlight w:val="red"/>
          <w:lang w:val="en-US" w:eastAsia="zh-CN"/>
        </w:rPr>
      </w:pPr>
      <w:r>
        <w:rPr>
          <w:rFonts w:hint="eastAsia"/>
          <w:b/>
          <w:bCs/>
          <w:sz w:val="24"/>
          <w:szCs w:val="32"/>
          <w:highlight w:val="red"/>
          <w:lang w:val="en-US" w:eastAsia="zh-CN"/>
        </w:rPr>
        <w:t>学分置换操作流程</w:t>
      </w:r>
    </w:p>
    <w:p>
      <w:pPr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在左侧找到已修读的课程并勾选，</w:t>
      </w:r>
      <w:r>
        <w:rPr>
          <w:rFonts w:hint="eastAsia"/>
          <w:b w:val="0"/>
          <w:bCs w:val="0"/>
          <w:color w:val="FF0000"/>
          <w:sz w:val="24"/>
          <w:szCs w:val="32"/>
          <w:highlight w:val="none"/>
          <w:lang w:val="en-US" w:eastAsia="zh-CN"/>
        </w:rPr>
        <w:t>一定要按照人才培养方案要求，选择对应的课程属性、课程性质、课程体系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，选定后，点击“置换属性和性质、课程体系”按钮。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4446270" cy="2766695"/>
            <wp:effectExtent l="0" t="0" r="11430" b="1460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3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送审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回到“成绩认定”页面，可看到申请的数据，“审核状态”为“待审核”。确认数据无误，可点击“送审”。如数据错误，可点击“删除”，再重新申请。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1610" cy="753745"/>
            <wp:effectExtent l="0" t="0" r="15240" b="825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80" w:firstLineChars="200"/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1.点“送审”，出现下图页面，点“确定”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2807335" cy="1579245"/>
            <wp:effectExtent l="0" t="0" r="12065" b="190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2.勾选审核人，点“送审”，“确定”。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3048000" cy="2336800"/>
            <wp:effectExtent l="0" t="0" r="0" b="635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3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审核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经学院审核，教务部审核，审核通过后，“培养方案完成情况”中的课程会显示合格的分数。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4785" cy="634365"/>
            <wp:effectExtent l="0" t="0" r="12065" b="1333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2880" cy="562610"/>
            <wp:effectExtent l="0" t="0" r="13970" b="889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查看数据</w:t>
      </w:r>
    </w:p>
    <w:p>
      <w:pPr>
        <w:numPr>
          <w:ilvl w:val="0"/>
          <w:numId w:val="0"/>
        </w:numPr>
        <w:ind w:leftChars="0" w:firstLine="720" w:firstLineChars="300"/>
        <w:jc w:val="left"/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在“成绩认定”页面可查看“审核状态”。</w:t>
      </w:r>
      <w:r>
        <w:drawing>
          <wp:inline distT="0" distB="0" distL="114300" distR="114300">
            <wp:extent cx="5267325" cy="1965960"/>
            <wp:effectExtent l="0" t="0" r="9525" b="15240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630" w:firstLineChars="300"/>
        <w:jc w:val="left"/>
      </w:pPr>
    </w:p>
    <w:p>
      <w:pPr>
        <w:numPr>
          <w:ilvl w:val="0"/>
          <w:numId w:val="0"/>
        </w:numPr>
        <w:ind w:leftChars="0" w:firstLine="630" w:firstLineChars="300"/>
        <w:jc w:val="left"/>
      </w:pPr>
    </w:p>
    <w:p>
      <w:pPr>
        <w:numPr>
          <w:ilvl w:val="0"/>
          <w:numId w:val="0"/>
        </w:numPr>
        <w:ind w:leftChars="0" w:firstLine="630" w:firstLineChars="300"/>
        <w:jc w:val="left"/>
      </w:pPr>
    </w:p>
    <w:p>
      <w:pPr>
        <w:numPr>
          <w:ilvl w:val="0"/>
          <w:numId w:val="0"/>
        </w:numPr>
        <w:ind w:left="723" w:hanging="723" w:hangingChars="300"/>
        <w:jc w:val="left"/>
        <w:rPr>
          <w:rFonts w:hint="eastAsia" w:eastAsiaTheme="minorEastAsia"/>
          <w:b/>
          <w:bCs/>
          <w:color w:val="FF0000"/>
          <w:sz w:val="24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32"/>
          <w:lang w:eastAsia="zh-CN"/>
        </w:rPr>
        <w:t>提醒：同学们申请时，每一步一定要认真确认，没问题后再进行下一步操作。一旦审核通过，数据将不可更改。</w:t>
      </w:r>
    </w:p>
    <w:sectPr>
      <w:pgSz w:w="11906" w:h="16838"/>
      <w:pgMar w:top="102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D5DEA4"/>
    <w:multiLevelType w:val="singleLevel"/>
    <w:tmpl w:val="E4D5DEA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848132"/>
    <w:multiLevelType w:val="singleLevel"/>
    <w:tmpl w:val="0084813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828E7B5"/>
    <w:multiLevelType w:val="singleLevel"/>
    <w:tmpl w:val="7828E7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YmYyZDM0OGI5ZTEzN2FiYzE5NjMxNjI4OTQ5ZWEifQ=="/>
  </w:docVars>
  <w:rsids>
    <w:rsidRoot w:val="210D4ED6"/>
    <w:rsid w:val="0B8D4501"/>
    <w:rsid w:val="0BEF527C"/>
    <w:rsid w:val="0F0C6300"/>
    <w:rsid w:val="12093C9B"/>
    <w:rsid w:val="122F56FB"/>
    <w:rsid w:val="128A01D1"/>
    <w:rsid w:val="144E1804"/>
    <w:rsid w:val="1A4B2158"/>
    <w:rsid w:val="1C0C3D50"/>
    <w:rsid w:val="210D4ED6"/>
    <w:rsid w:val="25323BFF"/>
    <w:rsid w:val="2A480FED"/>
    <w:rsid w:val="2C5B4138"/>
    <w:rsid w:val="2DF4445F"/>
    <w:rsid w:val="35236C23"/>
    <w:rsid w:val="3C9925B0"/>
    <w:rsid w:val="41CD2B0D"/>
    <w:rsid w:val="423C15B9"/>
    <w:rsid w:val="48775643"/>
    <w:rsid w:val="4B517FBB"/>
    <w:rsid w:val="51A1512B"/>
    <w:rsid w:val="5CFE6A23"/>
    <w:rsid w:val="5F18098E"/>
    <w:rsid w:val="60A830F0"/>
    <w:rsid w:val="649909FF"/>
    <w:rsid w:val="65A97A68"/>
    <w:rsid w:val="6DDA0744"/>
    <w:rsid w:val="6FF272B6"/>
    <w:rsid w:val="70A13F2E"/>
    <w:rsid w:val="710C2988"/>
    <w:rsid w:val="73FD32E1"/>
    <w:rsid w:val="77197EE4"/>
    <w:rsid w:val="7A557D7A"/>
    <w:rsid w:val="7F7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514</Words>
  <Characters>516</Characters>
  <Lines>0</Lines>
  <Paragraphs>0</Paragraphs>
  <TotalTime>1</TotalTime>
  <ScaleCrop>false</ScaleCrop>
  <LinksUpToDate>false</LinksUpToDate>
  <CharactersWithSpaces>523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2022-04-09T06:35:00Z</dcterms:created>
  <dc:creator>Administrator</dc:creator>
  <cp:lastModifiedBy>admin</cp:lastModifiedBy>
  <dcterms:modified xsi:type="dcterms:W3CDTF">2023-11-27T03:01:18Z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46F8E7841898401C9D36C6F39210AD6F_12</vt:lpwstr>
  </property>
</Properties>
</file>