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查询学生个人课程及学分完成情况流程（</w:t>
      </w:r>
      <w:r>
        <w:rPr>
          <w:rFonts w:hint="eastAsia"/>
          <w:b/>
          <w:bCs/>
          <w:sz w:val="32"/>
          <w:szCs w:val="32"/>
        </w:rPr>
        <w:t>大学综合教务系统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autoSpaceDN w:val="0"/>
        <w:spacing w:beforeAutospacing="1" w:afterAutospacing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点击图标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"../Application%20Data/Tencent/Users/417938173/QQ/WinTemp/RichOle/PROM~GU5HM)FI1%60LP0WLJOI.jpg"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962025" cy="571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，进入登陆页面。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第一步、</w:t>
      </w:r>
      <w:r>
        <w:rPr>
          <w:rFonts w:hint="eastAsia"/>
          <w:b/>
          <w:sz w:val="28"/>
          <w:szCs w:val="28"/>
        </w:rPr>
        <w:t>用“公共用户”登录，密码123456</w:t>
      </w:r>
    </w:p>
    <w:p>
      <w:pPr>
        <w:autoSpaceDN w:val="0"/>
        <w:spacing w:beforeAutospacing="1" w:afterAutospacing="1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"../Application%20Data/Tencent/Users/417938173/QQ/WinTemp/RichOle/GHQ~RMX376M6%5bN%5dSRSGZARM.jpg"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3985260" cy="2863850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</w:p>
    <w:p>
      <w:pPr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/>
          <w:b w:val="0"/>
          <w:bCs w:val="0"/>
          <w:sz w:val="28"/>
          <w:szCs w:val="28"/>
        </w:rPr>
        <w:t>点击“成绩管理”，进入“成绩管理”界面</w:t>
      </w:r>
    </w:p>
    <w:p>
      <w:pPr>
        <w:autoSpaceDN w:val="0"/>
        <w:spacing w:beforeAutospacing="1" w:afterAutospacing="1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"../Application%20Data/Tencent/Users/417938173/QQ/WinTemp/RichOle/3$_5E_)7$8WJLMH9%5b0T394L.jpg"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3597910" cy="2687955"/>
            <wp:effectExtent l="0" t="0" r="254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211455</wp:posOffset>
                </wp:positionV>
                <wp:extent cx="457835" cy="8890"/>
                <wp:effectExtent l="0" t="36830" r="18415" b="30480"/>
                <wp:wrapNone/>
                <wp:docPr id="6" name="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" o:spid="_x0000_s1026" o:spt="20" style="position:absolute;left:0pt;flip:y;margin-left:111.35pt;margin-top:16.65pt;height:0.7pt;width:36.05pt;z-index:251659264;mso-width-relative:page;mso-height-relative:page;" filled="f" stroked="t" coordsize="21600,21600" o:gfxdata="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0T152AAAAAkBAAAP&#10;AAAAAAAAAAEAIAAAACIAAABkcnMvZG93bnJldi54bWxQSwECFAAUAAAACACHTuJAB7ygr98BAACe&#10;AwAADgAAAAAAAAABACAAAAAn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选择“</w:t>
      </w:r>
      <w:r>
        <w:rPr>
          <w:rFonts w:hint="eastAsia"/>
          <w:sz w:val="28"/>
          <w:szCs w:val="28"/>
          <w:lang w:eastAsia="zh-CN"/>
        </w:rPr>
        <w:t>统计报表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8"/>
          <w:szCs w:val="28"/>
          <w:lang w:eastAsia="zh-CN"/>
        </w:rPr>
        <w:t>成绩审核单</w:t>
      </w:r>
      <w:r>
        <w:rPr>
          <w:rFonts w:hint="eastAsia"/>
          <w:sz w:val="24"/>
        </w:rPr>
        <w:t xml:space="preserve">       </w:t>
      </w:r>
    </w:p>
    <w:p>
      <w:pPr>
        <w:jc w:val="center"/>
      </w:pPr>
      <w:r>
        <w:drawing>
          <wp:inline distT="0" distB="0" distL="114300" distR="114300">
            <wp:extent cx="4321810" cy="4177030"/>
            <wp:effectExtent l="0" t="0" r="2540" b="1397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第二步，</w:t>
      </w:r>
      <w:r>
        <w:rPr>
          <w:rFonts w:hint="eastAsia"/>
          <w:b/>
          <w:bCs/>
          <w:sz w:val="28"/>
          <w:szCs w:val="28"/>
        </w:rPr>
        <w:t>进行数据</w:t>
      </w:r>
      <w:r>
        <w:rPr>
          <w:rFonts w:hint="eastAsia"/>
          <w:b/>
          <w:bCs/>
          <w:sz w:val="28"/>
          <w:szCs w:val="28"/>
          <w:lang w:eastAsia="zh-CN"/>
        </w:rPr>
        <w:t>查询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查询</w:t>
      </w:r>
      <w:r>
        <w:rPr>
          <w:rFonts w:hint="eastAsia"/>
          <w:sz w:val="28"/>
          <w:szCs w:val="28"/>
        </w:rPr>
        <w:t>条件</w:t>
      </w:r>
      <w:r>
        <w:rPr>
          <w:rFonts w:hint="eastAsia"/>
          <w:sz w:val="28"/>
          <w:szCs w:val="28"/>
          <w:lang w:eastAsia="zh-CN"/>
        </w:rPr>
        <w:t>设置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处填入学号，其它设置如图，点击“查询”。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826770"/>
            <wp:effectExtent l="0" t="0" r="4445" b="1143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在左侧显示学生名，双击。如图：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401060" cy="1294130"/>
            <wp:effectExtent l="0" t="0" r="8890" b="127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右侧显示具体数据，如图：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0500" cy="1974850"/>
            <wp:effectExtent l="0" t="0" r="6350" b="635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上图说明：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eastAsia="zh-CN"/>
        </w:rPr>
        <w:t>显示红色的是未通过或未修读的课程和学分。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b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.此处</w:t>
      </w:r>
      <w:r>
        <w:drawing>
          <wp:inline distT="0" distB="0" distL="114300" distR="114300">
            <wp:extent cx="1971675" cy="438150"/>
            <wp:effectExtent l="0" t="0" r="9525" b="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显示的是课组</w:t>
      </w:r>
      <w:r>
        <w:drawing>
          <wp:inline distT="0" distB="0" distL="114300" distR="114300">
            <wp:extent cx="685800" cy="438150"/>
            <wp:effectExtent l="0" t="0" r="0" b="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学分情况。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步，</w:t>
      </w:r>
      <w:r>
        <w:rPr>
          <w:rFonts w:hint="eastAsia"/>
          <w:b/>
          <w:bCs/>
          <w:sz w:val="28"/>
          <w:szCs w:val="28"/>
        </w:rPr>
        <w:t>进行数据</w:t>
      </w:r>
      <w:r>
        <w:rPr>
          <w:rFonts w:hint="eastAsia"/>
          <w:b/>
          <w:bCs/>
          <w:sz w:val="28"/>
          <w:szCs w:val="28"/>
          <w:lang w:eastAsia="zh-CN"/>
        </w:rPr>
        <w:t>导出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点击“导出”，如图：</w:t>
      </w:r>
    </w:p>
    <w:p>
      <w:pPr/>
      <w:r>
        <w:drawing>
          <wp:inline distT="0" distB="0" distL="114300" distR="114300">
            <wp:extent cx="5274310" cy="668020"/>
            <wp:effectExtent l="0" t="0" r="2540" b="1778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保存时，“保存类型”要选“</w:t>
      </w:r>
      <w:r>
        <w:rPr>
          <w:rFonts w:hint="eastAsia"/>
          <w:sz w:val="28"/>
          <w:szCs w:val="28"/>
          <w:lang w:val="en-US" w:eastAsia="zh-CN"/>
        </w:rPr>
        <w:t>Excel</w:t>
      </w:r>
      <w:r>
        <w:rPr>
          <w:rFonts w:hint="eastAsia"/>
          <w:sz w:val="28"/>
          <w:szCs w:val="28"/>
          <w:lang w:eastAsia="zh-CN"/>
        </w:rPr>
        <w:t>”，保存即可。如图：</w:t>
      </w:r>
    </w:p>
    <w:p>
      <w:pPr>
        <w:jc w:val="center"/>
      </w:pPr>
      <w:r>
        <w:drawing>
          <wp:inline distT="0" distB="0" distL="114300" distR="114300">
            <wp:extent cx="3790950" cy="2599690"/>
            <wp:effectExtent l="0" t="0" r="0" b="1016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强调补充：小语种学生（日语小语种为例）的“公共基础课”课组会显示如图：</w:t>
      </w:r>
    </w:p>
    <w:p>
      <w:pPr>
        <w:jc w:val="both"/>
      </w:pPr>
      <w:r>
        <w:drawing>
          <wp:inline distT="0" distB="0" distL="114300" distR="114300">
            <wp:extent cx="5268595" cy="3748405"/>
            <wp:effectExtent l="0" t="0" r="8255" b="444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b/>
          <w:bCs/>
          <w:color w:val="0000FF"/>
          <w:sz w:val="28"/>
          <w:szCs w:val="28"/>
          <w:lang w:eastAsia="zh-CN"/>
        </w:rPr>
        <w:t>英语的课程呈“未修读”的状态，但在“专业选修课”课组里会出现，如图：</w:t>
      </w:r>
      <w:r>
        <w:drawing>
          <wp:inline distT="0" distB="0" distL="114300" distR="114300">
            <wp:extent cx="5274310" cy="706755"/>
            <wp:effectExtent l="0" t="0" r="2540" b="1714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eastAsia="zh-CN"/>
        </w:rPr>
        <w:t>只要如上图的日语课程都通过，则视为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“公共基础课”课组学分完成。</w:t>
      </w:r>
    </w:p>
    <w:p>
      <w:pPr>
        <w:jc w:val="both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其他课组必须完成规定学分。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449159">
    <w:nsid w:val="573A7647"/>
    <w:multiLevelType w:val="singleLevel"/>
    <w:tmpl w:val="573A7647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3449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7E05"/>
    <w:rsid w:val="056452D6"/>
    <w:rsid w:val="10F307E6"/>
    <w:rsid w:val="28844BF9"/>
    <w:rsid w:val="290E7E05"/>
    <w:rsid w:val="34553341"/>
    <w:rsid w:val="371B70B9"/>
    <w:rsid w:val="39563733"/>
    <w:rsid w:val="41BF7D2A"/>
    <w:rsid w:val="596679EB"/>
    <w:rsid w:val="61340F6C"/>
    <w:rsid w:val="79A52A8F"/>
    <w:rsid w:val="7DC07B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2016-05-17T02:24:00Z</dcterms:created>
  <dc:creator>Administrator</dc:creator>
  <cp:lastModifiedBy>Administrator</cp:lastModifiedBy>
  <dcterms:modified xsi:type="dcterms:W3CDTF">2016-05-17T05:30:39Z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